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eastAsia="宋体" w:cs="Times New Roman"/>
          <w:bCs/>
          <w:sz w:val="96"/>
          <w:szCs w:val="24"/>
        </w:rPr>
      </w:pPr>
      <w:r>
        <w:rPr>
          <w:rFonts w:ascii="宋体" w:hAnsi="宋体" w:eastAsia="宋体" w:cs="Times New Roman"/>
          <w:bCs/>
          <w:sz w:val="96"/>
          <w:szCs w:val="24"/>
        </w:rPr>
      </w:r>
      <w:r/>
    </w:p>
    <w:p>
      <w:pPr>
        <w:jc w:val="center"/>
        <w:spacing w:before="120" w:after="120" w:line="360" w:lineRule="auto"/>
        <w:rPr>
          <w:rFonts w:ascii="宋体" w:hAnsi="宋体" w:eastAsia="宋体" w:cs="Times New Roman"/>
          <w:bCs/>
          <w:sz w:val="96"/>
          <w:szCs w:val="24"/>
        </w:rPr>
      </w:pPr>
      <w:r>
        <w:rPr>
          <w:rFonts w:ascii="宋体" w:hAnsi="宋体" w:eastAsia="宋体" w:cs="Times New Roman"/>
          <w:bCs/>
          <w:sz w:val="72"/>
        </w:rPr>
        <w:t xml:space="preserve">封闭式框架协议采购　</w:t>
      </w:r>
      <w:r/>
    </w:p>
    <w:p>
      <w:pPr>
        <w:ind w:firstLine="3600"/>
        <w:jc w:val="left"/>
        <w:spacing w:before="120" w:after="120" w:line="360" w:lineRule="auto"/>
        <w:rPr>
          <w:rFonts w:ascii="宋体" w:hAnsi="宋体" w:eastAsia="宋体" w:cs="Times New Roman"/>
          <w:bCs/>
          <w:sz w:val="72"/>
        </w:rPr>
      </w:pPr>
      <w:r>
        <w:rPr>
          <w:rFonts w:ascii="宋体" w:hAnsi="宋体" w:eastAsia="宋体" w:cs="Times New Roman"/>
          <w:bCs/>
          <w:sz w:val="72"/>
        </w:rPr>
        <w:t xml:space="preserve">征集文件</w:t>
      </w:r>
      <w:r/>
    </w:p>
    <w:p>
      <w:pPr>
        <w:jc w:val="left"/>
        <w:spacing w:before="120" w:after="120" w:line="360" w:lineRule="auto"/>
        <w:rPr>
          <w:rFonts w:ascii="宋体" w:hAnsi="宋体" w:eastAsia="宋体" w:cs="Times New Roman"/>
          <w:b/>
          <w:bCs/>
          <w:sz w:val="32"/>
          <w:szCs w:val="24"/>
        </w:rPr>
      </w:pPr>
      <w:r>
        <w:rPr>
          <w:rFonts w:ascii="宋体" w:hAnsi="宋体" w:eastAsia="宋体" w:cs="Times New Roman"/>
          <w:b/>
          <w:bCs/>
          <w:sz w:val="32"/>
          <w:szCs w:val="24"/>
        </w:rPr>
      </w:r>
      <w:r/>
    </w:p>
    <w:p>
      <w:pPr>
        <w:ind w:right="420" w:firstLine="1600"/>
        <w:spacing w:line="360" w:lineRule="auto"/>
        <w:rPr>
          <w:rFonts w:ascii="宋体" w:hAnsi="Times New Roman" w:eastAsia="宋体" w:cs="Times New Roman"/>
          <w:bCs/>
          <w:color w:val="000000"/>
          <w:sz w:val="32"/>
          <w:szCs w:val="20"/>
        </w:rPr>
      </w:pPr>
      <w:r>
        <w:rPr>
          <w:rFonts w:hint="eastAsia" w:ascii="宋体" w:hAnsi="Times New Roman" w:eastAsia="宋体" w:cs="Times New Roman"/>
          <w:bCs/>
          <w:color w:val="000000"/>
          <w:sz w:val="32"/>
          <w:szCs w:val="20"/>
        </w:rPr>
        <w:t xml:space="preserve">项目编号：JSZC-320900-JSGX-K2025-0046</w:t>
      </w:r>
      <w:r/>
    </w:p>
    <w:p>
      <w:pPr>
        <w:ind w:left="3196" w:right="420" w:hanging="1600"/>
        <w:spacing w:line="360" w:lineRule="auto"/>
        <w:rPr>
          <w:rFonts w:ascii="宋体" w:hAnsi="Times New Roman" w:eastAsia="宋体" w:cs="Times New Roman"/>
          <w:bCs/>
          <w:color w:val="000000"/>
          <w:sz w:val="32"/>
          <w:szCs w:val="20"/>
        </w:rPr>
      </w:pPr>
      <w:r>
        <w:rPr>
          <w:rFonts w:hint="eastAsia" w:ascii="宋体" w:hAnsi="Times New Roman" w:eastAsia="宋体" w:cs="Times New Roman"/>
          <w:bCs/>
          <w:color w:val="000000"/>
          <w:sz w:val="32"/>
          <w:szCs w:val="20"/>
        </w:rPr>
        <w:t xml:space="preserve">项目名称：2026-2027年度盐城市本级公务用车出租客运服务框架协议采购项目</w:t>
      </w:r>
      <w:r/>
    </w:p>
    <w:p>
      <w:pPr>
        <w:jc w:val="center"/>
        <w:spacing w:before="120" w:after="120" w:line="360" w:lineRule="auto"/>
        <w:rPr>
          <w:rFonts w:ascii="宋体" w:hAnsi="宋体" w:eastAsia="宋体" w:cs="Times New Roman"/>
          <w:b/>
          <w:bCs/>
          <w:sz w:val="32"/>
          <w:szCs w:val="24"/>
        </w:rPr>
      </w:pPr>
      <w:r>
        <w:rPr>
          <w:rFonts w:ascii="宋体" w:hAnsi="宋体" w:eastAsia="宋体" w:cs="Times New Roman"/>
          <w:b/>
          <w:bCs/>
          <w:sz w:val="32"/>
          <w:szCs w:val="24"/>
        </w:rPr>
      </w:r>
      <w:r/>
    </w:p>
    <w:p>
      <w:pPr>
        <w:jc w:val="center"/>
        <w:spacing w:before="120" w:after="120" w:line="360" w:lineRule="auto"/>
        <w:rPr>
          <w:rFonts w:ascii="宋体" w:hAnsi="宋体" w:eastAsia="宋体" w:cs="Times New Roman"/>
          <w:b/>
          <w:bCs/>
          <w:sz w:val="32"/>
          <w:szCs w:val="24"/>
        </w:rPr>
      </w:pPr>
      <w:r>
        <w:rPr>
          <w:rFonts w:ascii="宋体" w:hAnsi="宋体" w:eastAsia="宋体" w:cs="Times New Roman"/>
          <w:b/>
          <w:bCs/>
          <w:sz w:val="32"/>
          <w:szCs w:val="24"/>
        </w:rPr>
      </w:r>
      <w:r/>
    </w:p>
    <w:p>
      <w:pPr>
        <w:jc w:val="center"/>
        <w:spacing w:before="120" w:after="120" w:line="360" w:lineRule="auto"/>
        <w:rPr>
          <w:rFonts w:ascii="宋体" w:hAnsi="宋体" w:eastAsia="宋体" w:cs="Times New Roman"/>
          <w:b/>
          <w:bCs/>
          <w:sz w:val="32"/>
          <w:szCs w:val="24"/>
        </w:rPr>
      </w:pPr>
      <w:r>
        <w:rPr>
          <w:rFonts w:ascii="宋体" w:hAnsi="宋体" w:eastAsia="宋体" w:cs="Times New Roman"/>
          <w:b/>
          <w:bCs/>
          <w:sz w:val="32"/>
          <w:szCs w:val="24"/>
        </w:rPr>
      </w:r>
      <w:r/>
    </w:p>
    <w:p>
      <w:pPr>
        <w:pStyle w:val="756"/>
        <w:rPr>
          <w:rFonts w:ascii="宋体" w:hAnsi="宋体" w:eastAsia="宋体" w:cs="Times New Roman"/>
          <w:b/>
          <w:bCs/>
          <w:sz w:val="32"/>
          <w:szCs w:val="24"/>
        </w:rPr>
      </w:pPr>
      <w:r>
        <w:rPr>
          <w:rFonts w:ascii="宋体" w:hAnsi="宋体" w:eastAsia="宋体" w:cs="Times New Roman"/>
          <w:b/>
          <w:bCs/>
          <w:sz w:val="32"/>
          <w:szCs w:val="24"/>
        </w:rPr>
      </w:r>
      <w:r/>
    </w:p>
    <w:p>
      <w:pPr>
        <w:pStyle w:val="756"/>
        <w:rPr>
          <w:rFonts w:ascii="宋体" w:hAnsi="宋体" w:eastAsia="宋体" w:cs="Times New Roman"/>
          <w:b/>
          <w:bCs/>
          <w:sz w:val="32"/>
          <w:szCs w:val="24"/>
        </w:rPr>
      </w:pPr>
      <w:r>
        <w:rPr>
          <w:rFonts w:ascii="宋体" w:hAnsi="宋体" w:eastAsia="宋体" w:cs="Times New Roman"/>
          <w:b/>
          <w:bCs/>
          <w:sz w:val="32"/>
          <w:szCs w:val="24"/>
        </w:rPr>
      </w:r>
      <w:r/>
    </w:p>
    <w:p>
      <w:pPr>
        <w:pStyle w:val="756"/>
        <w:rPr>
          <w:rFonts w:ascii="宋体" w:hAnsi="宋体" w:eastAsia="宋体" w:cs="Times New Roman"/>
          <w:b/>
          <w:bCs/>
          <w:sz w:val="32"/>
          <w:szCs w:val="24"/>
        </w:rPr>
      </w:pPr>
      <w:r>
        <w:rPr>
          <w:rFonts w:ascii="宋体" w:hAnsi="宋体" w:eastAsia="宋体" w:cs="Times New Roman"/>
          <w:b/>
          <w:bCs/>
          <w:sz w:val="32"/>
          <w:szCs w:val="24"/>
        </w:rPr>
      </w:r>
      <w:r/>
    </w:p>
    <w:p>
      <w:pPr>
        <w:pStyle w:val="756"/>
        <w:rPr>
          <w:rFonts w:ascii="宋体" w:hAnsi="宋体" w:eastAsia="宋体" w:cs="Times New Roman"/>
          <w:b/>
          <w:bCs/>
          <w:sz w:val="32"/>
          <w:szCs w:val="24"/>
        </w:rPr>
      </w:pPr>
      <w:r>
        <w:rPr>
          <w:rFonts w:ascii="宋体" w:hAnsi="宋体" w:eastAsia="宋体" w:cs="Times New Roman"/>
          <w:b/>
          <w:bCs/>
          <w:sz w:val="32"/>
          <w:szCs w:val="24"/>
        </w:rPr>
      </w:r>
      <w:r/>
    </w:p>
    <w:p>
      <w:pPr>
        <w:ind w:left="3194" w:right="420" w:hanging="960"/>
        <w:spacing w:line="360" w:lineRule="auto"/>
        <w:rPr>
          <w:rFonts w:ascii="宋体" w:hAnsi="Times New Roman" w:eastAsia="宋体" w:cs="Times New Roman"/>
          <w:bCs/>
          <w:color w:val="000000"/>
          <w:sz w:val="32"/>
          <w:szCs w:val="20"/>
        </w:rPr>
      </w:pPr>
      <w:r>
        <w:rPr>
          <w:rFonts w:hint="eastAsia" w:ascii="宋体" w:hAnsi="Times New Roman" w:eastAsia="宋体" w:cs="Times New Roman"/>
          <w:bCs/>
          <w:color w:val="000000"/>
          <w:sz w:val="32"/>
          <w:szCs w:val="20"/>
        </w:rPr>
        <w:t xml:space="preserve">征集人：</w:t>
      </w:r>
      <w:bookmarkStart w:id="0" w:name="OLE_LINK3"/>
      <w:r>
        <w:rPr>
          <w:rFonts w:hint="eastAsia" w:ascii="宋体" w:hAnsi="Times New Roman" w:eastAsia="宋体" w:cs="Times New Roman"/>
          <w:bCs/>
          <w:color w:val="000000"/>
          <w:sz w:val="32"/>
          <w:szCs w:val="20"/>
        </w:rPr>
        <w:t xml:space="preserve">盐城市机关事务管理局</w:t>
      </w:r>
      <w:bookmarkEnd w:id="0"/>
      <w:r/>
      <w:r/>
    </w:p>
    <w:p>
      <w:pPr>
        <w:ind w:left="3192" w:right="420" w:firstLine="320"/>
        <w:spacing w:line="360" w:lineRule="auto"/>
        <w:rPr>
          <w:rFonts w:ascii="宋体" w:hAnsi="Times New Roman" w:eastAsia="宋体" w:cs="Times New Roman"/>
          <w:bCs/>
          <w:color w:val="000000"/>
          <w:sz w:val="32"/>
          <w:szCs w:val="20"/>
        </w:rPr>
      </w:pPr>
      <w:r>
        <w:rPr>
          <w:rFonts w:hint="eastAsia" w:ascii="宋体" w:hAnsi="Times New Roman" w:eastAsia="宋体" w:cs="Times New Roman"/>
          <w:bCs/>
          <w:color w:val="000000"/>
          <w:sz w:val="32"/>
          <w:szCs w:val="20"/>
        </w:rPr>
        <w:t xml:space="preserve">2025年 11月</w:t>
      </w:r>
      <w:r/>
    </w:p>
    <w:p>
      <w:pPr>
        <w:rPr>
          <w:rFonts w:ascii="宋体" w:hAnsi="宋体" w:eastAsia="宋体" w:cs="Times New Roman"/>
          <w:szCs w:val="24"/>
        </w:rPr>
      </w:pPr>
      <w:r>
        <w:rPr>
          <w:rFonts w:ascii="宋体" w:hAnsi="宋体" w:eastAsia="宋体" w:cs="Times New Roman"/>
          <w:szCs w:val="24"/>
        </w:rPr>
      </w:r>
      <w:r/>
    </w:p>
    <w:p>
      <w:pPr>
        <w:rPr>
          <w:rFonts w:ascii="宋体" w:hAnsi="宋体" w:eastAsia="宋体" w:cs="Times New Roman"/>
          <w:szCs w:val="24"/>
        </w:rPr>
      </w:pPr>
      <w:r>
        <w:rPr>
          <w:rFonts w:ascii="宋体" w:hAnsi="宋体" w:eastAsia="宋体" w:cs="Times New Roman"/>
          <w:szCs w:val="24"/>
        </w:rPr>
      </w:r>
      <w:r/>
    </w:p>
    <w:p>
      <w:pPr>
        <w:rPr>
          <w:rFonts w:ascii="宋体" w:hAnsi="宋体" w:eastAsia="宋体" w:cs="Times New Roman"/>
          <w:szCs w:val="24"/>
        </w:rPr>
      </w:pPr>
      <w:r>
        <w:rPr>
          <w:rFonts w:ascii="宋体" w:hAnsi="宋体" w:eastAsia="宋体" w:cs="Times New Roman"/>
          <w:szCs w:val="24"/>
        </w:rPr>
      </w:r>
      <w:r/>
    </w:p>
    <w:p>
      <w:pPr>
        <w:pStyle w:val="753"/>
      </w:pPr>
      <w:r/>
      <w:r/>
    </w:p>
    <w:p>
      <w:pPr>
        <w:jc w:val="center"/>
        <w:spacing w:line="480" w:lineRule="auto"/>
        <w:rPr>
          <w:rFonts w:ascii="宋体" w:hAnsi="宋体" w:eastAsia="宋体" w:cs="Times New Roman"/>
          <w:b/>
          <w:sz w:val="44"/>
          <w:szCs w:val="24"/>
        </w:rPr>
        <w:outlineLvl w:val="0"/>
      </w:pPr>
      <w:r/>
      <w:bookmarkStart w:id="1" w:name="_Toc128039577"/>
      <w:r>
        <w:rPr>
          <w:rFonts w:ascii="宋体" w:hAnsi="宋体" w:eastAsia="宋体" w:cs="Times New Roman"/>
          <w:b/>
          <w:sz w:val="44"/>
          <w:szCs w:val="24"/>
        </w:rPr>
        <w:t xml:space="preserve">总  目  录</w:t>
      </w:r>
      <w:bookmarkEnd w:id="1"/>
      <w:r/>
      <w:r/>
    </w:p>
    <w:p>
      <w:pPr>
        <w:jc w:val="center"/>
        <w:spacing w:line="113" w:lineRule="atLeast"/>
        <w:rPr>
          <w:rFonts w:ascii="宋体" w:hAnsi="宋体" w:eastAsia="宋体" w:cs="Times New Roman"/>
          <w:szCs w:val="24"/>
        </w:rPr>
      </w:pPr>
      <w:r>
        <w:rPr>
          <w:rFonts w:ascii="宋体" w:hAnsi="宋体" w:eastAsia="宋体" w:cs="Times New Roman"/>
          <w:szCs w:val="24"/>
        </w:rPr>
      </w:r>
      <w:r/>
    </w:p>
    <w:p>
      <w:pPr>
        <w:spacing w:before="120" w:after="120" w:line="400" w:lineRule="exact"/>
        <w:tabs>
          <w:tab w:val="right" w:pos="8720" w:leader="dot"/>
        </w:tabs>
        <w:rPr>
          <w:rFonts w:ascii="宋体" w:hAnsi="宋体" w:eastAsia="宋体" w:cs="Times New Roman"/>
          <w:sz w:val="22"/>
          <w:szCs w:val="24"/>
        </w:rPr>
      </w:pPr>
      <w:r>
        <w:rPr>
          <w:rFonts w:ascii="宋体" w:hAnsi="宋体" w:eastAsia="宋体" w:cs="Times New Roman"/>
          <w:b/>
          <w:bCs/>
          <w:caps/>
          <w:sz w:val="40"/>
          <w:szCs w:val="40"/>
        </w:rPr>
        <w:fldChar w:fldCharType="begin"/>
      </w:r>
      <w:r>
        <w:rPr>
          <w:rFonts w:ascii="宋体" w:hAnsi="宋体" w:eastAsia="宋体" w:cs="Times New Roman"/>
          <w:b/>
          <w:bCs/>
          <w:caps/>
          <w:sz w:val="40"/>
          <w:szCs w:val="40"/>
        </w:rPr>
        <w:instrText xml:space="preserve"> TOC \o "1-1" \u </w:instrText>
      </w:r>
      <w:r>
        <w:rPr>
          <w:rFonts w:ascii="宋体" w:hAnsi="宋体" w:eastAsia="宋体" w:cs="Times New Roman"/>
          <w:b/>
          <w:bCs/>
          <w:caps/>
          <w:sz w:val="40"/>
          <w:szCs w:val="40"/>
        </w:rPr>
        <w:fldChar w:fldCharType="separate"/>
      </w:r>
      <w:r>
        <w:rPr>
          <w:rFonts w:ascii="宋体" w:hAnsi="宋体" w:eastAsia="宋体" w:cs="Times New Roman"/>
          <w:caps/>
          <w:sz w:val="28"/>
          <w:szCs w:val="28"/>
        </w:rPr>
        <w:t xml:space="preserve">第一章  参加征集活动的邀请</w:t>
      </w:r>
      <w:r>
        <w:rPr>
          <w:rFonts w:ascii="宋体" w:hAnsi="宋体" w:eastAsia="宋体" w:cs="Times New Roman"/>
          <w:caps/>
          <w:sz w:val="28"/>
          <w:szCs w:val="28"/>
        </w:rPr>
        <w:tab/>
      </w:r>
      <w:r>
        <w:rPr>
          <w:rFonts w:hint="eastAsia" w:ascii="宋体" w:hAnsi="宋体" w:eastAsia="宋体" w:cs="Times New Roman"/>
          <w:caps/>
          <w:sz w:val="28"/>
          <w:szCs w:val="28"/>
        </w:rPr>
        <w:t xml:space="preserve">0</w:t>
      </w:r>
      <w:r>
        <w:rPr>
          <w:rFonts w:ascii="宋体" w:hAnsi="宋体" w:eastAsia="宋体" w:cs="Times New Roman"/>
          <w:caps/>
          <w:sz w:val="28"/>
          <w:szCs w:val="28"/>
        </w:rPr>
        <w:fldChar w:fldCharType="begin"/>
      </w:r>
      <w:r>
        <w:rPr>
          <w:rFonts w:ascii="宋体" w:hAnsi="宋体" w:eastAsia="宋体" w:cs="Times New Roman"/>
          <w:caps/>
          <w:sz w:val="28"/>
          <w:szCs w:val="28"/>
        </w:rPr>
        <w:instrText xml:space="preserve"> PAGEREF _Toc128039578 \h </w:instrText>
      </w:r>
      <w:r>
        <w:rPr>
          <w:rFonts w:ascii="宋体" w:hAnsi="宋体" w:eastAsia="宋体" w:cs="Times New Roman"/>
          <w:caps/>
          <w:sz w:val="28"/>
          <w:szCs w:val="28"/>
        </w:rPr>
        <w:fldChar w:fldCharType="separate"/>
      </w:r>
      <w:r>
        <w:rPr>
          <w:rFonts w:ascii="宋体" w:hAnsi="宋体" w:eastAsia="宋体" w:cs="Times New Roman"/>
          <w:caps/>
          <w:sz w:val="28"/>
          <w:szCs w:val="28"/>
        </w:rPr>
        <w:t xml:space="preserve">1</w:t>
      </w:r>
      <w:r>
        <w:rPr>
          <w:rFonts w:ascii="宋体" w:hAnsi="宋体" w:eastAsia="宋体" w:cs="Times New Roman"/>
          <w:caps/>
          <w:sz w:val="28"/>
          <w:szCs w:val="28"/>
        </w:rPr>
        <w:fldChar w:fldCharType="end"/>
      </w:r>
      <w:r/>
    </w:p>
    <w:p>
      <w:pPr>
        <w:spacing w:before="120" w:after="120" w:line="400" w:lineRule="exact"/>
        <w:tabs>
          <w:tab w:val="right" w:pos="8720" w:leader="dot"/>
        </w:tabs>
        <w:rPr>
          <w:rFonts w:ascii="宋体" w:hAnsi="宋体" w:eastAsia="宋体" w:cs="Times New Roman"/>
          <w:sz w:val="22"/>
          <w:szCs w:val="24"/>
        </w:rPr>
      </w:pPr>
      <w:r>
        <w:rPr>
          <w:rFonts w:ascii="宋体" w:hAnsi="宋体" w:eastAsia="宋体" w:cs="Times New Roman"/>
          <w:caps/>
          <w:sz w:val="28"/>
          <w:szCs w:val="28"/>
        </w:rPr>
        <w:t xml:space="preserve">第二章  供应商须知</w:t>
      </w:r>
      <w:r>
        <w:rPr>
          <w:rFonts w:ascii="宋体" w:hAnsi="宋体" w:eastAsia="宋体" w:cs="Times New Roman"/>
          <w:caps/>
          <w:sz w:val="28"/>
          <w:szCs w:val="28"/>
        </w:rPr>
        <w:tab/>
      </w:r>
      <w:r>
        <w:rPr>
          <w:rFonts w:hint="eastAsia" w:ascii="宋体" w:hAnsi="宋体" w:eastAsia="宋体" w:cs="Times New Roman"/>
          <w:caps/>
          <w:sz w:val="28"/>
          <w:szCs w:val="28"/>
        </w:rPr>
        <w:t xml:space="preserve">05</w:t>
      </w:r>
      <w:r/>
    </w:p>
    <w:p>
      <w:pPr>
        <w:spacing w:before="120" w:after="120" w:line="400" w:lineRule="exact"/>
        <w:tabs>
          <w:tab w:val="right" w:pos="8720" w:leader="dot"/>
        </w:tabs>
        <w:rPr>
          <w:rFonts w:ascii="宋体" w:hAnsi="宋体" w:eastAsia="宋体" w:cs="Times New Roman"/>
          <w:sz w:val="22"/>
          <w:szCs w:val="24"/>
        </w:rPr>
      </w:pPr>
      <w:r>
        <w:rPr>
          <w:rFonts w:ascii="宋体" w:hAnsi="宋体" w:eastAsia="宋体" w:cs="Times New Roman"/>
          <w:bCs/>
          <w:caps/>
          <w:sz w:val="28"/>
          <w:szCs w:val="28"/>
        </w:rPr>
        <w:t xml:space="preserve">第三章  框架协议文本</w:t>
      </w:r>
      <w:r>
        <w:rPr>
          <w:rFonts w:ascii="宋体" w:hAnsi="宋体" w:eastAsia="宋体" w:cs="Times New Roman"/>
          <w:caps/>
          <w:sz w:val="28"/>
          <w:szCs w:val="28"/>
        </w:rPr>
        <w:tab/>
        <w:t xml:space="preserve">1</w:t>
      </w:r>
      <w:r>
        <w:rPr>
          <w:rFonts w:hint="eastAsia" w:ascii="宋体" w:hAnsi="宋体" w:eastAsia="宋体" w:cs="Times New Roman"/>
          <w:caps/>
          <w:sz w:val="28"/>
          <w:szCs w:val="28"/>
        </w:rPr>
        <w:t xml:space="preserve">6</w:t>
      </w:r>
      <w:r/>
    </w:p>
    <w:p>
      <w:pPr>
        <w:spacing w:before="120" w:after="120" w:line="400" w:lineRule="exact"/>
        <w:tabs>
          <w:tab w:val="right" w:pos="8720" w:leader="dot"/>
        </w:tabs>
        <w:rPr>
          <w:rFonts w:ascii="宋体" w:hAnsi="宋体" w:eastAsia="宋体" w:cs="Times New Roman"/>
          <w:sz w:val="22"/>
          <w:szCs w:val="24"/>
        </w:rPr>
      </w:pPr>
      <w:r>
        <w:rPr>
          <w:rFonts w:ascii="宋体" w:hAnsi="宋体" w:eastAsia="宋体" w:cs="Times New Roman"/>
          <w:bCs/>
          <w:caps/>
          <w:sz w:val="28"/>
          <w:szCs w:val="28"/>
        </w:rPr>
        <w:t xml:space="preserve">第四章 </w:t>
      </w:r>
      <w:r>
        <w:rPr>
          <w:rFonts w:hint="eastAsia" w:ascii="宋体" w:hAnsi="宋体" w:eastAsia="宋体" w:cs="Times New Roman"/>
          <w:bCs/>
          <w:caps/>
          <w:sz w:val="28"/>
          <w:szCs w:val="28"/>
        </w:rPr>
        <w:t xml:space="preserve"> </w:t>
      </w:r>
      <w:r>
        <w:rPr>
          <w:rFonts w:ascii="宋体" w:hAnsi="宋体" w:eastAsia="宋体" w:cs="Times New Roman"/>
          <w:bCs/>
          <w:caps/>
          <w:sz w:val="28"/>
          <w:szCs w:val="28"/>
        </w:rPr>
        <w:t xml:space="preserve">采购需求</w:t>
      </w:r>
      <w:r>
        <w:rPr>
          <w:rFonts w:ascii="宋体" w:hAnsi="宋体" w:eastAsia="宋体" w:cs="Times New Roman"/>
          <w:caps/>
          <w:sz w:val="28"/>
          <w:szCs w:val="28"/>
        </w:rPr>
        <w:tab/>
      </w:r>
      <w:r>
        <w:rPr>
          <w:rFonts w:hint="eastAsia" w:ascii="宋体" w:hAnsi="宋体" w:eastAsia="宋体" w:cs="Times New Roman"/>
          <w:caps/>
          <w:sz w:val="28"/>
          <w:szCs w:val="28"/>
        </w:rPr>
        <w:t xml:space="preserve">28</w:t>
      </w:r>
      <w:r/>
    </w:p>
    <w:p>
      <w:pPr>
        <w:spacing w:before="120" w:after="120" w:line="400" w:lineRule="exact"/>
        <w:tabs>
          <w:tab w:val="right" w:pos="8720" w:leader="dot"/>
        </w:tabs>
        <w:rPr>
          <w:rFonts w:ascii="宋体" w:hAnsi="宋体" w:eastAsia="宋体" w:cs="Times New Roman"/>
          <w:sz w:val="22"/>
          <w:szCs w:val="24"/>
        </w:rPr>
      </w:pPr>
      <w:r>
        <w:rPr>
          <w:rFonts w:ascii="宋体" w:hAnsi="宋体" w:eastAsia="宋体" w:cs="Times New Roman"/>
          <w:bCs/>
          <w:caps/>
          <w:sz w:val="28"/>
          <w:szCs w:val="28"/>
        </w:rPr>
        <w:t xml:space="preserve">第五章  确定入围及成交供应商</w:t>
      </w:r>
      <w:r>
        <w:rPr>
          <w:rFonts w:ascii="宋体" w:hAnsi="宋体" w:eastAsia="宋体" w:cs="Times New Roman"/>
          <w:caps/>
          <w:sz w:val="28"/>
          <w:szCs w:val="28"/>
        </w:rPr>
        <w:tab/>
        <w:t xml:space="preserve">4</w:t>
      </w:r>
      <w:r>
        <w:rPr>
          <w:rFonts w:hint="eastAsia" w:ascii="宋体" w:hAnsi="宋体" w:eastAsia="宋体" w:cs="Times New Roman"/>
          <w:caps/>
          <w:sz w:val="28"/>
          <w:szCs w:val="28"/>
        </w:rPr>
        <w:t xml:space="preserve">0</w:t>
      </w:r>
      <w:r/>
    </w:p>
    <w:p>
      <w:pPr>
        <w:spacing w:before="120" w:after="120" w:line="400" w:lineRule="exact"/>
        <w:tabs>
          <w:tab w:val="right" w:pos="8720" w:leader="dot"/>
        </w:tabs>
        <w:rPr>
          <w:rFonts w:ascii="宋体" w:hAnsi="宋体" w:eastAsia="宋体" w:cs="Times New Roman"/>
          <w:sz w:val="22"/>
          <w:szCs w:val="24"/>
        </w:rPr>
      </w:pPr>
      <w:r>
        <w:rPr>
          <w:rFonts w:ascii="宋体" w:hAnsi="宋体" w:eastAsia="宋体" w:cs="Times New Roman"/>
          <w:bCs/>
          <w:caps/>
          <w:sz w:val="28"/>
          <w:szCs w:val="28"/>
        </w:rPr>
        <w:t xml:space="preserve">第六章  响应文件格式</w:t>
      </w:r>
      <w:r>
        <w:rPr>
          <w:rFonts w:ascii="宋体" w:hAnsi="宋体" w:eastAsia="宋体" w:cs="Times New Roman"/>
          <w:caps/>
          <w:sz w:val="28"/>
          <w:szCs w:val="28"/>
        </w:rPr>
        <w:tab/>
        <w:t xml:space="preserve">4</w:t>
      </w:r>
      <w:r>
        <w:rPr>
          <w:rFonts w:hint="eastAsia" w:ascii="宋体" w:hAnsi="宋体" w:eastAsia="宋体" w:cs="Times New Roman"/>
          <w:caps/>
          <w:sz w:val="28"/>
          <w:szCs w:val="28"/>
        </w:rPr>
        <w:t xml:space="preserve">2</w:t>
      </w:r>
      <w:r/>
    </w:p>
    <w:p>
      <w:pPr>
        <w:rPr>
          <w:rFonts w:ascii="宋体" w:hAnsi="宋体" w:eastAsia="宋体" w:cs="Times New Roman"/>
          <w:szCs w:val="24"/>
        </w:rPr>
      </w:pPr>
      <w:r>
        <w:rPr>
          <w:rFonts w:ascii="宋体" w:hAnsi="宋体" w:eastAsia="宋体" w:cs="Times New Roman"/>
          <w:b/>
          <w:bCs/>
          <w:sz w:val="40"/>
          <w:szCs w:val="40"/>
        </w:rPr>
        <w:fldChar w:fldCharType="end"/>
      </w:r>
      <w:r/>
    </w:p>
    <w:p>
      <w:pPr>
        <w:rPr>
          <w:rFonts w:ascii="宋体" w:hAnsi="宋体" w:eastAsia="宋体" w:cs="Times New Roman"/>
          <w:szCs w:val="24"/>
        </w:rPr>
      </w:pPr>
      <w:r>
        <w:rPr>
          <w:rFonts w:ascii="宋体" w:hAnsi="宋体" w:eastAsia="宋体" w:cs="Times New Roman"/>
          <w:szCs w:val="24"/>
        </w:rPr>
      </w:r>
      <w:r/>
    </w:p>
    <w:p>
      <w:pPr>
        <w:jc w:val="center"/>
        <w:rPr>
          <w:rFonts w:ascii="宋体" w:hAnsi="宋体" w:eastAsia="宋体" w:cs="Times New Roman"/>
          <w:sz w:val="44"/>
          <w:szCs w:val="44"/>
        </w:rPr>
        <w:sectPr>
          <w:headerReference w:type="default" r:id="rId9"/>
          <w:footerReference w:type="default" r:id="rId10"/>
          <w:footnotePr/>
          <w:endnotePr/>
          <w:type w:val="nextPage"/>
          <w:pgSz w:w="11906" w:h="16838" w:orient="portrait"/>
          <w:pgMar w:top="1134" w:right="1134" w:bottom="1134" w:left="1134" w:header="794" w:footer="992" w:gutter="0"/>
          <w:cols w:num="1" w:sep="0" w:space="720" w:equalWidth="1"/>
          <w:docGrid w:linePitch="360"/>
        </w:sectPr>
        <w:outlineLvl w:val="0"/>
      </w:pPr>
      <w:r/>
      <w:bookmarkStart w:id="4" w:name="_Toc128039578"/>
      <w:r/>
      <w:r/>
    </w:p>
    <w:p>
      <w:pPr>
        <w:jc w:val="center"/>
        <w:rPr>
          <w:rFonts w:ascii="宋体" w:hAnsi="宋体" w:eastAsia="宋体" w:cs="Times New Roman"/>
          <w:sz w:val="44"/>
          <w:szCs w:val="44"/>
        </w:rPr>
        <w:outlineLvl w:val="0"/>
      </w:pPr>
      <w:r>
        <w:rPr>
          <w:rFonts w:hint="eastAsia" w:ascii="方正小标宋_GBK" w:hAnsi="方正小标宋_GBK" w:eastAsia="方正小标宋_GBK" w:cs="方正小标宋_GBK"/>
          <w:color w:val="000000"/>
          <w:sz w:val="40"/>
          <w:szCs w:val="40"/>
        </w:rPr>
        <w:t xml:space="preserve">第一章  参加征集活动的邀请</w:t>
      </w:r>
      <w:bookmarkEnd w:id="4"/>
      <w:r/>
      <w:r/>
    </w:p>
    <w:p>
      <w:pPr>
        <w:ind w:firstLine="480"/>
        <w:jc w:val="left"/>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盐城市机关事务管理局</w:t>
      </w:r>
      <w:r>
        <w:rPr>
          <w:rFonts w:ascii="宋体" w:hAnsi="宋体" w:eastAsia="宋体" w:cs="Times New Roman"/>
          <w:sz w:val="24"/>
          <w:szCs w:val="24"/>
        </w:rPr>
        <w:t xml:space="preserve">现就</w:t>
      </w:r>
      <w:r>
        <w:rPr>
          <w:rFonts w:hint="eastAsia" w:ascii="宋体" w:hAnsi="宋体" w:eastAsia="宋体" w:cs="Times New Roman"/>
          <w:sz w:val="24"/>
          <w:szCs w:val="24"/>
        </w:rPr>
        <w:t xml:space="preserve">2026-2027年度盐城市本级公务用车出租客运服务框架协议采购项目</w:t>
      </w:r>
      <w:r>
        <w:rPr>
          <w:rFonts w:ascii="宋体" w:hAnsi="宋体" w:eastAsia="宋体" w:cs="Times New Roman"/>
          <w:sz w:val="24"/>
          <w:szCs w:val="24"/>
        </w:rPr>
        <w:t xml:space="preserve">征集供应商，欢迎符合条件的供应商参加本次框架协议采购活动。</w:t>
      </w:r>
      <w:r/>
    </w:p>
    <w:p>
      <w:pPr>
        <w:ind w:firstLine="482"/>
        <w:spacing w:line="500" w:lineRule="atLeast"/>
        <w:rPr>
          <w:rFonts w:ascii="宋体" w:hAnsi="宋体" w:eastAsia="宋体" w:cs="Times New Roman"/>
          <w:b/>
          <w:bCs/>
          <w:sz w:val="24"/>
          <w:szCs w:val="24"/>
        </w:rPr>
        <w:pBdr>
          <w:top w:val="single" w:color="000000" w:sz="4" w:space="1"/>
          <w:left w:val="single" w:color="000000" w:sz="4" w:space="4"/>
          <w:bottom w:val="single" w:color="000000" w:sz="4" w:space="1"/>
          <w:right w:val="single" w:color="000000" w:sz="4" w:space="4"/>
        </w:pBdr>
      </w:pPr>
      <w:r>
        <w:rPr>
          <w:rFonts w:ascii="宋体" w:hAnsi="宋体" w:eastAsia="宋体" w:cs="Times New Roman"/>
          <w:b/>
          <w:bCs/>
          <w:sz w:val="24"/>
          <w:szCs w:val="24"/>
        </w:rPr>
        <w:t xml:space="preserve">项目概况</w:t>
      </w:r>
      <w:r/>
    </w:p>
    <w:p>
      <w:pPr>
        <w:ind w:firstLine="482"/>
        <w:spacing w:line="500" w:lineRule="atLeast"/>
        <w:rPr>
          <w:rFonts w:ascii="宋体" w:hAnsi="宋体" w:eastAsia="宋体" w:cs="Times New Roman"/>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u w:val="single"/>
        </w:rPr>
        <w:t xml:space="preserve">2026-2027年度盐城市本级公务用车出租客运服务框架协议采购项目</w:t>
      </w:r>
      <w:r>
        <w:rPr>
          <w:rFonts w:ascii="宋体" w:hAnsi="宋体" w:eastAsia="宋体" w:cs="Times New Roman"/>
          <w:sz w:val="24"/>
          <w:szCs w:val="24"/>
        </w:rPr>
        <w:t xml:space="preserve">的潜在供应商可在</w:t>
      </w:r>
      <w:r>
        <w:rPr>
          <w:rFonts w:hint="eastAsia" w:ascii="宋体" w:hAnsi="宋体" w:eastAsia="宋体" w:cs="Times New Roman"/>
          <w:sz w:val="24"/>
          <w:szCs w:val="24"/>
          <w:u w:val="single"/>
        </w:rPr>
        <w:t xml:space="preserve">“苏采云”系统内免费下载(投标人必须在苏采云系统中获取采购文件，方能参与政府采购项目)</w:t>
      </w:r>
      <w:r>
        <w:rPr>
          <w:rFonts w:ascii="宋体" w:hAnsi="宋体" w:eastAsia="宋体" w:cs="Times New Roman"/>
          <w:sz w:val="24"/>
          <w:szCs w:val="24"/>
        </w:rPr>
        <w:t xml:space="preserve">征集文件，并于</w:t>
      </w:r>
      <w:r>
        <w:rPr>
          <w:rFonts w:ascii="宋体" w:hAnsi="宋体" w:eastAsia="宋体" w:cs="Times New Roman"/>
          <w:sz w:val="24"/>
          <w:szCs w:val="24"/>
          <w:u w:val="single"/>
        </w:rPr>
        <w:t xml:space="preserve">202</w:t>
      </w:r>
      <w:r>
        <w:rPr>
          <w:rFonts w:hint="eastAsia" w:ascii="宋体" w:hAnsi="宋体" w:eastAsia="宋体" w:cs="Times New Roman"/>
          <w:sz w:val="24"/>
          <w:szCs w:val="24"/>
          <w:u w:val="single"/>
        </w:rPr>
        <w:t xml:space="preserve">5</w:t>
      </w:r>
      <w:r>
        <w:rPr>
          <w:rFonts w:ascii="宋体" w:hAnsi="宋体" w:eastAsia="宋体" w:cs="Times New Roman"/>
          <w:sz w:val="24"/>
          <w:szCs w:val="24"/>
          <w:u w:val="single"/>
        </w:rPr>
        <w:t xml:space="preserve">年 </w:t>
      </w:r>
      <w:r>
        <w:rPr>
          <w:rFonts w:hint="eastAsia" w:ascii="宋体" w:hAnsi="宋体" w:eastAsia="宋体" w:cs="Times New Roman"/>
          <w:sz w:val="24"/>
          <w:szCs w:val="24"/>
          <w:u w:val="single"/>
        </w:rPr>
        <w:t xml:space="preserve">12</w:t>
      </w:r>
      <w:r>
        <w:rPr>
          <w:rFonts w:ascii="宋体" w:hAnsi="宋体" w:eastAsia="宋体" w:cs="Times New Roman"/>
          <w:sz w:val="24"/>
          <w:szCs w:val="24"/>
          <w:u w:val="single"/>
        </w:rPr>
        <w:t xml:space="preserve">  月 </w:t>
      </w:r>
      <w:r>
        <w:rPr>
          <w:rFonts w:ascii="宋体" w:hAnsi="宋体" w:eastAsia="宋体" w:cs="Times New Roman"/>
          <w:sz w:val="24"/>
          <w:szCs w:val="24"/>
          <w:u w:val="single"/>
        </w:rPr>
        <w:t xml:space="preserve">1</w:t>
      </w:r>
      <w:r>
        <w:rPr>
          <w:rFonts w:ascii="宋体" w:hAnsi="宋体" w:eastAsia="宋体" w:cs="Times New Roman"/>
          <w:sz w:val="24"/>
          <w:szCs w:val="24"/>
          <w:u w:val="single"/>
        </w:rPr>
        <w:t xml:space="preserve">8</w:t>
      </w:r>
      <w:r>
        <w:rPr>
          <w:rFonts w:ascii="宋体" w:hAnsi="宋体" w:eastAsia="宋体" w:cs="Times New Roman"/>
          <w:sz w:val="24"/>
          <w:szCs w:val="24"/>
          <w:u w:val="single"/>
        </w:rPr>
        <w:t xml:space="preserve"> </w:t>
      </w:r>
      <w:r>
        <w:rPr>
          <w:rFonts w:ascii="宋体" w:hAnsi="宋体" w:eastAsia="宋体" w:cs="Times New Roman"/>
          <w:sz w:val="24"/>
          <w:szCs w:val="24"/>
          <w:u w:val="single"/>
        </w:rPr>
        <w:t xml:space="preserve">日</w:t>
      </w:r>
      <w:r>
        <w:rPr>
          <w:rFonts w:hint="eastAsia" w:ascii="宋体" w:hAnsi="宋体" w:eastAsia="宋体" w:cs="Times New Roman"/>
          <w:sz w:val="24"/>
          <w:szCs w:val="24"/>
          <w:u w:val="single"/>
        </w:rPr>
        <w:t xml:space="preserve">上午</w:t>
      </w:r>
      <w:r>
        <w:rPr>
          <w:rFonts w:hint="eastAsia" w:ascii="宋体" w:hAnsi="宋体" w:eastAsia="宋体" w:cs="Times New Roman"/>
          <w:bCs/>
          <w:sz w:val="24"/>
          <w:szCs w:val="24"/>
          <w:u w:val="single"/>
        </w:rPr>
        <w:t xml:space="preserve">9</w:t>
      </w:r>
      <w:r>
        <w:rPr>
          <w:rFonts w:ascii="宋体" w:hAnsi="宋体" w:eastAsia="宋体" w:cs="Times New Roman"/>
          <w:bCs/>
          <w:sz w:val="24"/>
          <w:szCs w:val="24"/>
          <w:u w:val="single"/>
        </w:rPr>
        <w:t xml:space="preserve">点</w:t>
      </w:r>
      <w:r>
        <w:rPr>
          <w:rFonts w:hint="eastAsia" w:ascii="宋体" w:hAnsi="宋体" w:eastAsia="宋体" w:cs="Times New Roman"/>
          <w:bCs/>
          <w:sz w:val="24"/>
          <w:szCs w:val="24"/>
          <w:u w:val="single"/>
        </w:rPr>
        <w:t xml:space="preserve">3</w:t>
      </w:r>
      <w:r>
        <w:rPr>
          <w:rFonts w:ascii="宋体" w:hAnsi="宋体" w:eastAsia="宋体" w:cs="Times New Roman"/>
          <w:bCs/>
          <w:sz w:val="24"/>
          <w:szCs w:val="24"/>
          <w:u w:val="single"/>
        </w:rPr>
        <w:t xml:space="preserve">0分（</w:t>
      </w:r>
      <w:r>
        <w:rPr>
          <w:rFonts w:ascii="宋体" w:hAnsi="宋体" w:eastAsia="宋体" w:cs="Times New Roman"/>
          <w:bCs/>
          <w:sz w:val="24"/>
          <w:szCs w:val="24"/>
        </w:rPr>
        <w:t xml:space="preserve">北京时间）前提交响应文件</w:t>
      </w:r>
      <w:r>
        <w:rPr>
          <w:rFonts w:ascii="宋体" w:hAnsi="宋体" w:eastAsia="宋体" w:cs="Times New Roman"/>
          <w:sz w:val="24"/>
          <w:szCs w:val="24"/>
        </w:rPr>
        <w:t xml:space="preserve">。</w:t>
      </w:r>
      <w:r/>
    </w:p>
    <w:p>
      <w:pPr>
        <w:ind w:firstLine="482"/>
        <w:spacing w:line="500" w:lineRule="atLeast"/>
        <w:rPr>
          <w:rFonts w:ascii="宋体" w:hAnsi="宋体" w:eastAsia="宋体" w:cs="Times New Roman"/>
          <w:b/>
          <w:bCs/>
          <w:sz w:val="24"/>
          <w:szCs w:val="24"/>
        </w:rPr>
      </w:pPr>
      <w:r/>
      <w:bookmarkStart w:id="5" w:name="_Hlk24379207"/>
      <w:r/>
      <w:bookmarkStart w:id="6" w:name="_Toc35393621"/>
      <w:r/>
      <w:bookmarkStart w:id="7" w:name="_Toc28359002"/>
      <w:r/>
      <w:bookmarkStart w:id="8" w:name="_Toc35393790"/>
      <w:r/>
      <w:bookmarkStart w:id="9" w:name="_Toc38985263"/>
      <w:r/>
      <w:bookmarkStart w:id="10" w:name="_Toc28359079"/>
      <w:r>
        <w:rPr>
          <w:rFonts w:ascii="宋体" w:hAnsi="宋体" w:eastAsia="宋体" w:cs="Times New Roman"/>
          <w:b/>
          <w:bCs/>
          <w:sz w:val="24"/>
          <w:szCs w:val="24"/>
        </w:rPr>
        <w:t xml:space="preserve">一、项目基本情况</w:t>
      </w:r>
      <w:bookmarkEnd w:id="5"/>
      <w:r/>
      <w:bookmarkEnd w:id="6"/>
      <w:r/>
      <w:bookmarkEnd w:id="7"/>
      <w:r/>
      <w:bookmarkEnd w:id="8"/>
      <w:r/>
      <w:bookmarkEnd w:id="9"/>
      <w:r/>
      <w:bookmarkEnd w:id="10"/>
      <w:r/>
      <w:r/>
    </w:p>
    <w:p>
      <w:pPr>
        <w:ind w:firstLine="480"/>
        <w:spacing w:line="500" w:lineRule="atLeast"/>
        <w:rPr>
          <w:rFonts w:ascii="宋体" w:hAnsi="宋体" w:eastAsia="宋体" w:cs="Times New Roman"/>
          <w:sz w:val="24"/>
          <w:szCs w:val="24"/>
        </w:rPr>
      </w:pPr>
      <w:r/>
      <w:bookmarkStart w:id="11" w:name="_Toc38985264"/>
      <w:r/>
      <w:bookmarkStart w:id="12" w:name="_Toc35393622"/>
      <w:r/>
      <w:bookmarkStart w:id="13" w:name="_Toc28359080"/>
      <w:r/>
      <w:bookmarkStart w:id="14" w:name="_Toc28359003"/>
      <w:r/>
      <w:bookmarkStart w:id="15" w:name="_Toc35393791"/>
      <w:r>
        <w:rPr>
          <w:rFonts w:ascii="宋体" w:hAnsi="宋体" w:eastAsia="宋体" w:cs="Times New Roman"/>
          <w:sz w:val="24"/>
          <w:szCs w:val="24"/>
        </w:rPr>
        <w:t xml:space="preserve">1.项目编号：</w:t>
      </w:r>
      <w:r>
        <w:rPr>
          <w:rFonts w:hint="eastAsia" w:ascii="宋体" w:hAnsi="宋体" w:eastAsia="宋体" w:cs="Times New Roman"/>
          <w:sz w:val="24"/>
          <w:szCs w:val="24"/>
        </w:rPr>
        <w:t xml:space="preserve">JSZC-320900-JSGX-K2025-0046</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2.项目名称：</w:t>
      </w:r>
      <w:r>
        <w:rPr>
          <w:rFonts w:hint="eastAsia" w:ascii="宋体" w:hAnsi="宋体" w:eastAsia="宋体" w:cs="Times New Roman"/>
          <w:sz w:val="24"/>
          <w:szCs w:val="24"/>
        </w:rPr>
        <w:t xml:space="preserve">2026-2027年度盐城市本级公务用车出租客运服务框架协议采购项目</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3.预算金额：</w:t>
      </w:r>
      <w:r>
        <w:rPr>
          <w:rFonts w:hint="eastAsia" w:ascii="宋体" w:hAnsi="宋体" w:eastAsia="宋体" w:cs="宋体"/>
          <w:sz w:val="24"/>
          <w:szCs w:val="24"/>
        </w:rPr>
        <w:t xml:space="preserve">详见“第四章 采购需求”</w:t>
      </w:r>
      <w:r>
        <w:rPr>
          <w:rFonts w:hint="eastAsia" w:ascii="宋体" w:hAnsi="宋体" w:eastAsia="宋体" w:cs="Times New Roman"/>
          <w:sz w:val="24"/>
          <w:szCs w:val="24"/>
        </w:rPr>
        <w:t xml:space="preserve">。</w:t>
      </w:r>
      <w:r/>
    </w:p>
    <w:p>
      <w:pPr>
        <w:ind w:firstLine="480"/>
        <w:spacing w:line="500" w:lineRule="atLeast"/>
        <w:rPr>
          <w:rFonts w:ascii="宋体" w:hAnsi="宋体" w:eastAsia="宋体" w:cs="宋体"/>
          <w:sz w:val="24"/>
          <w:szCs w:val="24"/>
        </w:rPr>
      </w:pPr>
      <w:r>
        <w:rPr>
          <w:rFonts w:hint="eastAsia" w:ascii="宋体" w:hAnsi="宋体" w:eastAsia="宋体" w:cs="Times New Roman"/>
          <w:sz w:val="24"/>
          <w:szCs w:val="24"/>
        </w:rPr>
        <w:t xml:space="preserve">4.采购包划分：</w:t>
      </w:r>
      <w:r>
        <w:rPr>
          <w:rFonts w:hint="eastAsia" w:ascii="宋体" w:hAnsi="宋体" w:eastAsia="宋体" w:cs="宋体"/>
          <w:sz w:val="24"/>
          <w:szCs w:val="24"/>
        </w:rPr>
        <w:t xml:space="preserve">本框架协议采购项目分为</w:t>
      </w:r>
      <w:bookmarkStart w:id="16" w:name="OLE_LINK16"/>
      <w:r/>
      <w:bookmarkStart w:id="17" w:name="OLE_LINK15"/>
      <w:r>
        <w:rPr>
          <w:rFonts w:hint="eastAsia" w:ascii="宋体" w:hAnsi="宋体" w:eastAsia="宋体" w:cs="宋体"/>
          <w:sz w:val="24"/>
          <w:szCs w:val="24"/>
        </w:rPr>
        <w:t xml:space="preserve">包一、包二、包三、包四，四个标段</w:t>
      </w:r>
      <w:bookmarkEnd w:id="16"/>
      <w:r/>
      <w:bookmarkEnd w:id="17"/>
      <w:r>
        <w:rPr>
          <w:rFonts w:hint="eastAsia" w:ascii="宋体" w:hAnsi="宋体" w:eastAsia="宋体" w:cs="宋体"/>
          <w:sz w:val="24"/>
          <w:szCs w:val="24"/>
        </w:rPr>
        <w:t xml:space="preserve">，供应商可根据自身情况选择标段进行报价，具体要求详见征集文件“第四章 采购需求”。</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5.征集人：盐城市机关事务管理局</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6.适用本次框架协议的采购人或服务对象范围：盐城市市本级党政机关、事业单位和团体组织。</w:t>
      </w:r>
      <w:r/>
    </w:p>
    <w:p>
      <w:pPr>
        <w:ind w:firstLine="480"/>
        <w:spacing w:line="500" w:lineRule="atLeast"/>
        <w:rPr>
          <w:rFonts w:ascii="宋体" w:hAnsi="宋体" w:eastAsia="宋体" w:cs="Times New Roman"/>
          <w:sz w:val="24"/>
          <w:szCs w:val="24"/>
          <w:u w:val="single"/>
        </w:rPr>
      </w:pPr>
      <w:r>
        <w:rPr>
          <w:rFonts w:hint="eastAsia" w:ascii="宋体" w:hAnsi="宋体" w:eastAsia="宋体" w:cs="Times New Roman"/>
          <w:sz w:val="24"/>
          <w:szCs w:val="24"/>
        </w:rPr>
        <w:t xml:space="preserve">7.采购需求：</w:t>
      </w:r>
      <w:bookmarkStart w:id="18" w:name="OLE_LINK34"/>
      <w:r/>
      <w:bookmarkStart w:id="19" w:name="OLE_LINK35"/>
      <w:r/>
      <w:bookmarkStart w:id="20" w:name="OLE_LINK27"/>
      <w:r>
        <w:rPr>
          <w:rFonts w:hint="eastAsia" w:ascii="宋体" w:hAnsi="宋体" w:eastAsia="宋体" w:cs="宋体"/>
          <w:sz w:val="24"/>
          <w:szCs w:val="24"/>
        </w:rPr>
        <w:t xml:space="preserve">本框架协议采购项目分为</w:t>
      </w:r>
      <w:bookmarkStart w:id="21" w:name="OLE_LINK8"/>
      <w:r>
        <w:rPr>
          <w:rFonts w:hint="eastAsia" w:ascii="宋体" w:hAnsi="宋体" w:eastAsia="宋体" w:cs="宋体"/>
          <w:sz w:val="24"/>
          <w:szCs w:val="24"/>
        </w:rPr>
        <w:t xml:space="preserve">包一、包二、包三、包四</w:t>
      </w:r>
      <w:bookmarkEnd w:id="21"/>
      <w:r>
        <w:rPr>
          <w:rFonts w:hint="eastAsia" w:ascii="宋体" w:hAnsi="宋体" w:eastAsia="宋体" w:cs="宋体"/>
          <w:sz w:val="24"/>
          <w:szCs w:val="24"/>
        </w:rPr>
        <w:t xml:space="preserve">，四个标段，供应商可根据自身情况选择标段进行报价，具体要求详见征集文件“第四章 采购需求”。（</w:t>
      </w:r>
      <w:r>
        <w:rPr>
          <w:rFonts w:hint="eastAsia" w:ascii="宋体" w:hAnsi="宋体" w:eastAsia="宋体" w:cs="宋体"/>
          <w:b/>
          <w:sz w:val="24"/>
          <w:szCs w:val="24"/>
        </w:rPr>
        <w:t xml:space="preserve">包一、包二兼投兼中，包三、包四兼投不兼中</w:t>
      </w:r>
      <w:r>
        <w:rPr>
          <w:rFonts w:hint="eastAsia" w:ascii="宋体" w:hAnsi="宋体" w:eastAsia="宋体" w:cs="宋体"/>
          <w:sz w:val="24"/>
          <w:szCs w:val="24"/>
        </w:rPr>
        <w:t xml:space="preserve">。）</w:t>
      </w:r>
      <w:bookmarkEnd w:id="18"/>
      <w:r/>
      <w:bookmarkEnd w:id="19"/>
      <w:r/>
      <w:bookmarkEnd w:id="20"/>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框架协议的期限：</w:t>
      </w:r>
      <w:bookmarkStart w:id="22" w:name="OLE_LINK20"/>
      <w:r>
        <w:rPr>
          <w:rFonts w:hint="eastAsia" w:ascii="宋体" w:hAnsi="宋体" w:eastAsia="宋体" w:cs="宋体"/>
          <w:sz w:val="24"/>
          <w:szCs w:val="24"/>
        </w:rPr>
        <w:t xml:space="preserve">自合同签订之日起2年。</w:t>
      </w:r>
      <w:bookmarkEnd w:id="22"/>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9.本项目是否专门面向中小企业：</w:t>
      </w:r>
      <w:r>
        <w:rPr>
          <w:rFonts w:hint="eastAsia" w:ascii="宋体" w:hAnsi="宋体" w:eastAsia="宋体" w:cs="宋体"/>
          <w:b/>
          <w:bCs/>
          <w:sz w:val="24"/>
          <w:szCs w:val="24"/>
        </w:rPr>
        <w:t xml:space="preserve">包一、包三、包四</w:t>
      </w:r>
      <w:r>
        <w:rPr>
          <w:rFonts w:hint="eastAsia" w:ascii="宋体" w:hAnsi="宋体" w:eastAsia="宋体" w:cs="Times New Roman"/>
          <w:sz w:val="24"/>
          <w:szCs w:val="24"/>
        </w:rPr>
        <w:t xml:space="preserve">是专门面向中小企业。（</w:t>
      </w:r>
      <w:r>
        <w:rPr>
          <w:rFonts w:hint="eastAsia" w:ascii="宋体" w:hAnsi="宋体" w:eastAsia="宋体" w:cs="Times New Roman"/>
          <w:b/>
          <w:bCs/>
          <w:sz w:val="24"/>
          <w:szCs w:val="24"/>
        </w:rPr>
        <w:t xml:space="preserve">包二</w:t>
      </w:r>
      <w:r>
        <w:rPr>
          <w:rFonts w:hint="eastAsia" w:ascii="宋体" w:hAnsi="宋体" w:eastAsia="宋体" w:cs="Times New Roman"/>
          <w:sz w:val="24"/>
          <w:szCs w:val="24"/>
        </w:rPr>
        <w:t xml:space="preserve">：不专门面向中小企业。）</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10.</w:t>
      </w:r>
      <w:r>
        <w:rPr>
          <w:rFonts w:hint="eastAsia" w:ascii="宋体" w:hAnsi="宋体" w:eastAsia="宋体" w:cs="宋体"/>
          <w:sz w:val="24"/>
          <w:szCs w:val="24"/>
        </w:rPr>
        <w:t xml:space="preserve">本项目标的所属行业：包一、包二属于租赁和商务服务业；包三、包四属于交通运输业。</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11.</w:t>
      </w:r>
      <w:r>
        <w:rPr>
          <w:rFonts w:hint="eastAsia" w:ascii="宋体" w:hAnsi="宋体" w:eastAsia="宋体" w:cs="宋体"/>
          <w:sz w:val="24"/>
          <w:szCs w:val="24"/>
        </w:rPr>
        <w:t xml:space="preserve"> 本项目</w:t>
      </w:r>
      <w:r>
        <w:rPr>
          <w:rFonts w:hint="eastAsia" w:ascii="宋体" w:hAnsi="宋体" w:eastAsia="宋体" w:cs="宋体"/>
          <w:sz w:val="24"/>
          <w:szCs w:val="24"/>
          <w:u w:val="single"/>
        </w:rPr>
        <w:t xml:space="preserve">不接受</w:t>
      </w:r>
      <w:r>
        <w:rPr>
          <w:rFonts w:hint="eastAsia" w:ascii="宋体" w:hAnsi="宋体" w:eastAsia="宋体" w:cs="宋体"/>
          <w:sz w:val="24"/>
          <w:szCs w:val="24"/>
        </w:rPr>
        <w:t xml:space="preserve">联合体参加采购活动。</w:t>
      </w:r>
      <w:r/>
    </w:p>
    <w:p>
      <w:pPr>
        <w:ind w:firstLine="482"/>
        <w:spacing w:line="500" w:lineRule="atLeast"/>
        <w:rPr>
          <w:rFonts w:ascii="宋体" w:hAnsi="宋体" w:eastAsia="宋体" w:cs="Times New Roman"/>
          <w:b/>
          <w:bCs/>
          <w:sz w:val="24"/>
          <w:szCs w:val="24"/>
        </w:rPr>
      </w:pPr>
      <w:r>
        <w:rPr>
          <w:rFonts w:ascii="宋体" w:hAnsi="宋体" w:eastAsia="宋体" w:cs="Times New Roman"/>
          <w:b/>
          <w:bCs/>
          <w:sz w:val="24"/>
          <w:szCs w:val="24"/>
        </w:rPr>
        <w:t xml:space="preserve">二、供应商的资格要求：</w:t>
      </w:r>
      <w:bookmarkEnd w:id="11"/>
      <w:r/>
      <w:bookmarkEnd w:id="12"/>
      <w:r/>
      <w:bookmarkEnd w:id="13"/>
      <w:r/>
      <w:bookmarkEnd w:id="14"/>
      <w:r/>
      <w:bookmarkEnd w:id="15"/>
      <w:r/>
      <w:r/>
    </w:p>
    <w:p>
      <w:pPr>
        <w:ind w:firstLine="480"/>
        <w:spacing w:line="500" w:lineRule="atLeast"/>
        <w:rPr>
          <w:rFonts w:ascii="宋体" w:hAnsi="宋体" w:eastAsia="宋体" w:cs="Times New Roman"/>
          <w:sz w:val="24"/>
          <w:szCs w:val="24"/>
        </w:rPr>
      </w:pPr>
      <w:r/>
      <w:bookmarkStart w:id="23" w:name="_Toc28359081"/>
      <w:r/>
      <w:bookmarkStart w:id="24" w:name="_Toc35393792"/>
      <w:r/>
      <w:bookmarkStart w:id="25" w:name="_Toc35393623"/>
      <w:r/>
      <w:bookmarkStart w:id="26" w:name="_Toc28359004"/>
      <w:r/>
      <w:bookmarkStart w:id="27" w:name="_Toc38985265"/>
      <w:r>
        <w:rPr>
          <w:rFonts w:hint="eastAsia" w:ascii="宋体" w:hAnsi="宋体" w:eastAsia="宋体" w:cs="Times New Roman"/>
          <w:sz w:val="24"/>
          <w:szCs w:val="24"/>
        </w:rPr>
        <w:t xml:space="preserve">1.</w:t>
      </w:r>
      <w:r>
        <w:rPr>
          <w:rFonts w:hint="eastAsia" w:ascii="宋体" w:hAnsi="宋体" w:eastAsia="宋体" w:cs="宋体"/>
          <w:sz w:val="24"/>
          <w:szCs w:val="24"/>
        </w:rPr>
        <w:t xml:space="preserve">满足《中华人民共和国政府采购法》第二十二条规定，并提供下列材料；</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cs="宋体"/>
          <w:sz w:val="24"/>
        </w:rPr>
        <w:t xml:space="preserve">法人或者其他组织的营业执照等证明文件，自然人的身份证明</w:t>
      </w:r>
      <w:r>
        <w:rPr>
          <w:rFonts w:hint="eastAsia" w:ascii="宋体" w:hAnsi="宋体" w:eastAsia="宋体" w:cs="宋体"/>
          <w:sz w:val="24"/>
          <w:szCs w:val="24"/>
        </w:rPr>
        <w:t xml:space="preserve">；</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w:t>
      </w:r>
      <w:r>
        <w:rPr>
          <w:rFonts w:hint="eastAsia"/>
        </w:rPr>
        <w:t xml:space="preserve"> </w:t>
      </w:r>
      <w:r>
        <w:rPr>
          <w:rFonts w:hint="eastAsia" w:ascii="宋体" w:hAnsi="宋体" w:eastAsia="宋体" w:cs="宋体"/>
          <w:sz w:val="24"/>
          <w:szCs w:val="24"/>
        </w:rPr>
        <w:t xml:space="preserve">上一年度财务状况报表（成立不满一年不需提供）；</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 有依法缴纳税收和社会保障资金的良好记录等；</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(4) 具有履行合同所必需的设备和专业技术能力；</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(5) 参加政府采购活动前三年内，在经营活动中没有重大违法记录；</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(6) </w:t>
      </w:r>
      <w:r>
        <w:rPr>
          <w:rFonts w:hint="eastAsia" w:ascii="宋体" w:hAnsi="宋体" w:eastAsia="宋体" w:cs="Times New Roman"/>
          <w:sz w:val="24"/>
          <w:szCs w:val="24"/>
        </w:rPr>
        <w:t xml:space="preserve">法律、行政法规规定的其他条件</w:t>
      </w:r>
      <w:r>
        <w:rPr>
          <w:rFonts w:hint="eastAsia" w:ascii="宋体" w:hAnsi="宋体" w:eastAsia="宋体" w:cs="宋体"/>
          <w:sz w:val="24"/>
          <w:szCs w:val="24"/>
        </w:rPr>
        <w:t xml:space="preserve">。</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bCs/>
          <w:sz w:val="24"/>
          <w:szCs w:val="24"/>
        </w:rPr>
        <w:t xml:space="preserve">落实政府采购政策需满足的资格要求：</w:t>
      </w:r>
      <w:r/>
    </w:p>
    <w:p>
      <w:pPr>
        <w:ind w:firstLine="480"/>
        <w:spacing w:line="500" w:lineRule="atLeast"/>
        <w:rPr>
          <w:rFonts w:ascii="宋体" w:hAnsi="宋体" w:eastAsia="宋体" w:cs="宋体"/>
          <w:sz w:val="24"/>
          <w:szCs w:val="24"/>
        </w:rPr>
      </w:pPr>
      <w:r/>
      <w:bookmarkStart w:id="28" w:name="OLE_LINK28"/>
      <w:r/>
      <w:bookmarkStart w:id="29" w:name="OLE_LINK31"/>
      <w:r>
        <w:rPr>
          <w:rFonts w:hint="eastAsia" w:ascii="宋体" w:hAnsi="宋体" w:eastAsia="宋体" w:cs="宋体"/>
          <w:sz w:val="24"/>
          <w:szCs w:val="24"/>
        </w:rPr>
        <w:t xml:space="preserve">2</w:t>
      </w:r>
      <w:r>
        <w:rPr>
          <w:rFonts w:ascii="宋体" w:hAnsi="宋体" w:eastAsia="宋体" w:cs="宋体"/>
          <w:sz w:val="24"/>
          <w:szCs w:val="24"/>
        </w:rPr>
        <w:t xml:space="preserve">.1</w:t>
      </w:r>
      <w:r>
        <w:rPr>
          <w:rFonts w:hint="eastAsia" w:ascii="宋体" w:hAnsi="宋体" w:eastAsia="宋体" w:cs="宋体"/>
          <w:sz w:val="24"/>
          <w:szCs w:val="24"/>
        </w:rPr>
        <w:t xml:space="preserve">本项目包一所属</w:t>
      </w:r>
      <w:r>
        <w:rPr>
          <w:rFonts w:hint="eastAsia" w:ascii="宋体" w:hAnsi="宋体" w:eastAsia="宋体" w:cs="宋体"/>
          <w:sz w:val="24"/>
          <w:szCs w:val="24"/>
          <w:u w:val="single"/>
        </w:rPr>
        <w:t xml:space="preserve">租赁和商务服务业</w:t>
      </w:r>
      <w:r>
        <w:rPr>
          <w:rFonts w:hint="eastAsia" w:ascii="宋体" w:hAnsi="宋体" w:eastAsia="宋体" w:cs="宋体"/>
          <w:sz w:val="24"/>
          <w:szCs w:val="24"/>
        </w:rPr>
        <w:t xml:space="preserve">，本项目包三、包四所属</w:t>
      </w:r>
      <w:r>
        <w:rPr>
          <w:rFonts w:hint="eastAsia" w:ascii="宋体" w:hAnsi="宋体" w:eastAsia="宋体" w:cs="宋体"/>
          <w:sz w:val="24"/>
          <w:szCs w:val="24"/>
          <w:u w:val="single"/>
        </w:rPr>
        <w:t xml:space="preserve">交通运输业</w:t>
      </w:r>
      <w:r>
        <w:rPr>
          <w:rFonts w:hint="eastAsia" w:ascii="宋体" w:hAnsi="宋体" w:eastAsia="宋体" w:cs="宋体"/>
          <w:sz w:val="24"/>
          <w:szCs w:val="24"/>
        </w:rPr>
        <w:t xml:space="preserve">，根据《工业和信息化部、国家统计局、国家发展和改革委员会、财政部关于印发中小企业划型标准规定的通知》（工信部联企业〔2011〕300号）规定的划分标准填写, 包一、包三、包四是专门面向中小企业。</w:t>
      </w:r>
      <w:r/>
    </w:p>
    <w:p>
      <w:pPr>
        <w:ind w:firstLine="480"/>
        <w:spacing w:line="500" w:lineRule="atLeast"/>
        <w:rPr>
          <w:rFonts w:ascii="宋体" w:hAnsi="宋体" w:eastAsia="宋体" w:cs="宋体"/>
          <w:sz w:val="24"/>
          <w:szCs w:val="24"/>
        </w:rPr>
      </w:pPr>
      <w:r>
        <w:rPr>
          <w:rFonts w:ascii="宋体" w:hAnsi="宋体" w:eastAsia="宋体" w:cs="宋体"/>
          <w:sz w:val="24"/>
          <w:szCs w:val="24"/>
        </w:rPr>
        <w:t xml:space="preserve">2.2</w:t>
      </w:r>
      <w:r>
        <w:rPr>
          <w:rFonts w:hint="eastAsia" w:ascii="宋体" w:hAnsi="宋体" w:eastAsia="宋体" w:cs="宋体"/>
          <w:sz w:val="24"/>
          <w:szCs w:val="24"/>
        </w:rPr>
        <w:t xml:space="preserve">本项目包二所属</w:t>
      </w:r>
      <w:r>
        <w:rPr>
          <w:rFonts w:hint="eastAsia" w:ascii="宋体" w:hAnsi="宋体" w:eastAsia="宋体" w:cs="宋体"/>
          <w:sz w:val="24"/>
          <w:szCs w:val="24"/>
          <w:u w:val="single"/>
        </w:rPr>
        <w:t xml:space="preserve">租赁和商务服务业</w:t>
      </w:r>
      <w:r>
        <w:rPr>
          <w:rFonts w:hint="eastAsia" w:ascii="宋体" w:hAnsi="宋体" w:eastAsia="宋体" w:cs="宋体"/>
          <w:sz w:val="24"/>
          <w:szCs w:val="24"/>
        </w:rPr>
        <w:t xml:space="preserve">，根据《工业和信息化部、国家统计局、国家发展和改革委员会、财政部关于印发中小企业划型标准规定的通知》（工信部联企业〔2011〕300号）规定的划分标准填写，包二不专门面向中小企业，小微企业享受20%价格折扣。</w:t>
      </w:r>
      <w:bookmarkEnd w:id="28"/>
      <w:r/>
      <w:bookmarkEnd w:id="29"/>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本项目的特定资格要求</w:t>
      </w:r>
      <w:r>
        <w:rPr>
          <w:rFonts w:hint="eastAsia" w:ascii="宋体" w:hAnsi="宋体" w:eastAsia="宋体" w:cs="宋体"/>
          <w:sz w:val="24"/>
          <w:szCs w:val="24"/>
        </w:rPr>
        <w:t xml:space="preserve">：</w:t>
      </w:r>
      <w:r/>
    </w:p>
    <w:p>
      <w:pPr>
        <w:ind w:firstLine="480"/>
        <w:spacing w:line="500" w:lineRule="atLeast"/>
        <w:rPr>
          <w:rFonts w:ascii="宋体" w:hAnsi="宋体" w:eastAsia="宋体" w:cs="宋体"/>
          <w:b/>
          <w:sz w:val="24"/>
          <w:szCs w:val="20"/>
        </w:rPr>
      </w:pPr>
      <w:r>
        <w:rPr>
          <w:rFonts w:hint="eastAsia" w:ascii="宋体" w:hAnsi="宋体" w:eastAsia="宋体" w:cs="Times New Roman"/>
          <w:sz w:val="24"/>
          <w:szCs w:val="24"/>
        </w:rPr>
        <w:t xml:space="preserve">（1）</w:t>
      </w:r>
      <w:bookmarkStart w:id="30" w:name="OLE_LINK32"/>
      <w:r/>
      <w:bookmarkStart w:id="31" w:name="OLE_LINK48"/>
      <w:r/>
      <w:bookmarkStart w:id="32" w:name="OLE_LINK26"/>
      <w:r/>
      <w:bookmarkStart w:id="33" w:name="OLE_LINK21"/>
      <w:r>
        <w:rPr>
          <w:rFonts w:hint="eastAsia" w:ascii="宋体" w:hAnsi="宋体" w:eastAsia="宋体" w:cs="宋体"/>
          <w:b/>
          <w:sz w:val="24"/>
          <w:szCs w:val="20"/>
        </w:rPr>
        <w:t xml:space="preserve">包一（租赁性质）</w:t>
      </w:r>
      <w:r>
        <w:rPr>
          <w:rFonts w:hint="eastAsia" w:ascii="宋体" w:hAnsi="宋体" w:eastAsia="宋体" w:cs="宋体"/>
          <w:sz w:val="24"/>
          <w:szCs w:val="20"/>
        </w:rPr>
        <w:t xml:space="preserve">：</w:t>
      </w:r>
      <w:r>
        <w:rPr>
          <w:rFonts w:hint="eastAsia" w:ascii="宋体" w:hAnsi="宋体" w:eastAsia="宋体" w:cs="宋体"/>
          <w:b/>
          <w:sz w:val="24"/>
          <w:szCs w:val="20"/>
        </w:rPr>
        <w:t xml:space="preserve">供应商应当到所在地交通运输主管部门办理备案手续，取得有效的小微型客车租赁备案证明（或许可证）。</w:t>
      </w:r>
      <w:bookmarkEnd w:id="30"/>
      <w:r/>
      <w:bookmarkEnd w:id="31"/>
      <w:r/>
      <w:r/>
    </w:p>
    <w:p>
      <w:pPr>
        <w:ind w:firstLine="723"/>
        <w:jc w:val="left"/>
        <w:spacing w:line="500" w:lineRule="atLeast"/>
        <w:widowControl/>
        <w:rPr>
          <w:rFonts w:ascii="宋体" w:hAnsi="宋体" w:eastAsia="宋体" w:cs="宋体"/>
          <w:b/>
          <w:sz w:val="24"/>
          <w:szCs w:val="20"/>
        </w:rPr>
      </w:pPr>
      <w:r>
        <w:rPr>
          <w:rFonts w:hint="eastAsia" w:ascii="宋体" w:hAnsi="宋体" w:eastAsia="宋体" w:cs="宋体"/>
          <w:b/>
          <w:sz w:val="24"/>
          <w:szCs w:val="20"/>
        </w:rPr>
        <w:t xml:space="preserve">包二（网约车）：供应商具有合法有效的行业主管部门核发的《网络预约出租汽车经营许可证》，且车辆应当持有相应的《道路运输证》；驾驶员应取得相应的《从业资格证》，且无犯罪记录。</w:t>
      </w:r>
      <w:r/>
    </w:p>
    <w:p>
      <w:pPr>
        <w:ind w:firstLine="723"/>
        <w:jc w:val="left"/>
        <w:spacing w:line="500" w:lineRule="atLeast"/>
        <w:widowControl/>
        <w:rPr>
          <w:rFonts w:ascii="宋体" w:hAnsi="宋体" w:eastAsia="宋体" w:cs="宋体"/>
          <w:b/>
          <w:sz w:val="24"/>
          <w:szCs w:val="20"/>
        </w:rPr>
      </w:pPr>
      <w:r>
        <w:rPr>
          <w:rFonts w:hint="eastAsia" w:ascii="宋体" w:hAnsi="宋体" w:eastAsia="宋体" w:cs="宋体"/>
          <w:b/>
          <w:sz w:val="24"/>
          <w:szCs w:val="20"/>
        </w:rPr>
        <w:t xml:space="preserve">包三（市际及以上）</w:t>
      </w:r>
      <w:r>
        <w:rPr>
          <w:rFonts w:hint="eastAsia" w:ascii="宋体" w:hAnsi="宋体" w:eastAsia="宋体" w:cs="宋体"/>
          <w:sz w:val="24"/>
          <w:szCs w:val="20"/>
        </w:rPr>
        <w:t xml:space="preserve">：</w:t>
      </w:r>
      <w:r>
        <w:rPr>
          <w:rFonts w:hint="eastAsia" w:ascii="宋体" w:hAnsi="宋体" w:eastAsia="宋体" w:cs="宋体"/>
          <w:b/>
          <w:sz w:val="24"/>
          <w:szCs w:val="20"/>
        </w:rPr>
        <w:t xml:space="preserve">供应商具有合法有效的</w:t>
      </w:r>
      <w:bookmarkStart w:id="34" w:name="OLE_LINK6"/>
      <w:r/>
      <w:bookmarkStart w:id="35" w:name="OLE_LINK7"/>
      <w:r>
        <w:rPr>
          <w:rFonts w:hint="eastAsia" w:ascii="宋体" w:hAnsi="宋体" w:eastAsia="宋体" w:cs="宋体"/>
          <w:b/>
          <w:sz w:val="24"/>
          <w:szCs w:val="20"/>
        </w:rPr>
        <w:t xml:space="preserve">道路运输经营许可证</w:t>
      </w:r>
      <w:bookmarkEnd w:id="34"/>
      <w:r/>
      <w:bookmarkEnd w:id="35"/>
      <w:r>
        <w:rPr>
          <w:rFonts w:hint="eastAsia" w:ascii="宋体" w:hAnsi="宋体" w:eastAsia="宋体" w:cs="宋体"/>
          <w:b/>
          <w:sz w:val="24"/>
          <w:szCs w:val="20"/>
        </w:rPr>
        <w:t xml:space="preserve">，且道路运输经营许可证经营范围须包含市际及以上</w:t>
      </w:r>
      <w:r>
        <w:rPr>
          <w:rFonts w:ascii="宋体" w:hAnsi="宋体" w:eastAsia="宋体" w:cs="宋体"/>
          <w:b/>
          <w:sz w:val="24"/>
          <w:szCs w:val="24"/>
        </w:rPr>
        <w:t xml:space="preserve">包车客运</w:t>
      </w:r>
      <w:r>
        <w:rPr>
          <w:rFonts w:hint="eastAsia" w:ascii="宋体" w:hAnsi="宋体" w:eastAsia="宋体" w:cs="宋体"/>
          <w:b/>
          <w:sz w:val="24"/>
          <w:szCs w:val="20"/>
        </w:rPr>
        <w:t xml:space="preserve">。</w:t>
      </w:r>
      <w:r/>
    </w:p>
    <w:p>
      <w:pPr>
        <w:ind w:firstLine="723"/>
        <w:jc w:val="left"/>
        <w:spacing w:line="500" w:lineRule="atLeast"/>
        <w:widowControl/>
        <w:rPr>
          <w:rFonts w:ascii="宋体" w:hAnsi="宋体" w:eastAsia="宋体" w:cs="宋体"/>
          <w:sz w:val="24"/>
          <w:szCs w:val="20"/>
        </w:rPr>
      </w:pPr>
      <w:r>
        <w:rPr>
          <w:rFonts w:hint="eastAsia" w:ascii="宋体" w:hAnsi="宋体" w:eastAsia="宋体" w:cs="宋体"/>
          <w:b/>
          <w:sz w:val="24"/>
          <w:szCs w:val="20"/>
        </w:rPr>
        <w:t xml:space="preserve">包四（县内及以上包车客运或公交客运[仅提供定制公交和点呼公交客运服务]）</w:t>
      </w:r>
      <w:r>
        <w:rPr>
          <w:rFonts w:hint="eastAsia" w:ascii="宋体" w:hAnsi="宋体" w:eastAsia="宋体" w:cs="宋体"/>
          <w:sz w:val="24"/>
          <w:szCs w:val="20"/>
        </w:rPr>
        <w:t xml:space="preserve">：</w:t>
      </w:r>
      <w:r>
        <w:rPr>
          <w:rFonts w:hint="eastAsia" w:ascii="宋体" w:hAnsi="宋体" w:eastAsia="宋体" w:cs="宋体"/>
          <w:b/>
          <w:sz w:val="24"/>
          <w:szCs w:val="20"/>
        </w:rPr>
        <w:t xml:space="preserve">供应商具有合法有效的道路运输</w:t>
      </w:r>
      <w:bookmarkStart w:id="36" w:name="OLE_LINK4"/>
      <w:r>
        <w:rPr>
          <w:rFonts w:hint="eastAsia" w:ascii="宋体" w:hAnsi="宋体" w:eastAsia="宋体" w:cs="宋体"/>
          <w:b/>
          <w:sz w:val="24"/>
          <w:szCs w:val="20"/>
        </w:rPr>
        <w:t xml:space="preserve">经营</w:t>
      </w:r>
      <w:bookmarkEnd w:id="36"/>
      <w:r>
        <w:rPr>
          <w:rFonts w:hint="eastAsia" w:ascii="宋体" w:hAnsi="宋体" w:eastAsia="宋体" w:cs="宋体"/>
          <w:b/>
          <w:sz w:val="24"/>
          <w:szCs w:val="20"/>
        </w:rPr>
        <w:t xml:space="preserve">许可证。</w:t>
      </w:r>
      <w:r/>
    </w:p>
    <w:p>
      <w:pPr>
        <w:ind w:firstLine="480"/>
        <w:spacing w:line="500" w:lineRule="atLeast"/>
        <w:rPr>
          <w:rFonts w:ascii="宋体" w:hAnsi="宋体" w:eastAsia="宋体" w:cs="Times New Roman"/>
          <w:sz w:val="24"/>
          <w:szCs w:val="24"/>
        </w:rPr>
      </w:pPr>
      <w:r/>
      <w:bookmarkStart w:id="37" w:name="OLE_LINK39"/>
      <w:r/>
      <w:bookmarkEnd w:id="32"/>
      <w:r/>
      <w:bookmarkEnd w:id="33"/>
      <w:r>
        <w:rPr>
          <w:rFonts w:hint="eastAsia" w:ascii="宋体" w:hAnsi="宋体" w:eastAsia="宋体" w:cs="Times New Roman"/>
          <w:sz w:val="24"/>
          <w:szCs w:val="24"/>
        </w:rPr>
        <w:t xml:space="preserve">（</w:t>
      </w: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bookmarkStart w:id="38" w:name="OLE_LINK40"/>
      <w:r/>
      <w:bookmarkStart w:id="39" w:name="OLE_LINK43"/>
      <w:r>
        <w:rPr>
          <w:rFonts w:hint="eastAsia" w:ascii="宋体" w:hAnsi="宋体" w:eastAsia="宋体" w:cs="Times New Roman"/>
          <w:sz w:val="24"/>
          <w:szCs w:val="24"/>
        </w:rPr>
        <w:t xml:space="preserve">供应商单位负责人为同一人或者存在直接控股、管理关系的不同供应商，不得参加同一合同项下的政府采购活动（</w:t>
      </w:r>
      <w:r>
        <w:rPr>
          <w:rFonts w:hint="eastAsia" w:ascii="宋体" w:hAnsi="宋体" w:eastAsia="宋体" w:cs="Times New Roman"/>
          <w:b/>
          <w:bCs/>
          <w:sz w:val="24"/>
          <w:szCs w:val="24"/>
        </w:rPr>
        <w:t xml:space="preserve">自行承诺</w:t>
      </w:r>
      <w:r>
        <w:rPr>
          <w:rFonts w:hint="eastAsia" w:ascii="宋体" w:hAnsi="宋体" w:eastAsia="宋体" w:cs="Times New Roman"/>
          <w:sz w:val="24"/>
          <w:szCs w:val="24"/>
        </w:rPr>
        <w:t xml:space="preserve">）。</w:t>
      </w:r>
      <w:bookmarkEnd w:id="37"/>
      <w:r/>
      <w:bookmarkEnd w:id="38"/>
      <w:r/>
      <w:bookmarkEnd w:id="39"/>
      <w:r/>
      <w:r/>
    </w:p>
    <w:p>
      <w:pPr>
        <w:ind w:firstLine="480"/>
        <w:spacing w:line="500" w:lineRule="atLeast"/>
        <w:rPr>
          <w:rFonts w:ascii="宋体" w:hAnsi="宋体" w:eastAsia="宋体" w:cs="宋体"/>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3</w:t>
      </w:r>
      <w:r>
        <w:rPr>
          <w:rFonts w:hint="eastAsia" w:ascii="宋体" w:hAnsi="宋体" w:eastAsia="宋体" w:cs="Times New Roman"/>
          <w:sz w:val="24"/>
          <w:szCs w:val="24"/>
        </w:rPr>
        <w:t xml:space="preserve">）未被“信用中国”网站（www.creditchina.gov.cn）列入失信被执行人、重大税收违法案件当事人名单、政府采购严重失信行为记录名单</w:t>
      </w:r>
      <w:r>
        <w:rPr>
          <w:rFonts w:hint="eastAsia" w:ascii="宋体" w:hAnsi="宋体" w:eastAsia="宋体" w:cs="宋体"/>
          <w:sz w:val="24"/>
          <w:szCs w:val="24"/>
        </w:rPr>
        <w:t xml:space="preserve">。</w:t>
      </w:r>
      <w:r/>
    </w:p>
    <w:p>
      <w:pPr>
        <w:ind w:firstLine="482"/>
        <w:spacing w:line="500" w:lineRule="atLeast"/>
        <w:rPr>
          <w:rFonts w:ascii="宋体" w:hAnsi="宋体" w:eastAsia="宋体" w:cs="Times New Roman"/>
          <w:b/>
          <w:bCs/>
          <w:sz w:val="24"/>
          <w:szCs w:val="24"/>
        </w:rPr>
      </w:pPr>
      <w:r>
        <w:rPr>
          <w:rFonts w:ascii="宋体" w:hAnsi="宋体" w:eastAsia="宋体" w:cs="Times New Roman"/>
          <w:b/>
          <w:bCs/>
          <w:sz w:val="24"/>
          <w:szCs w:val="24"/>
        </w:rPr>
        <w:t xml:space="preserve">三、</w:t>
      </w:r>
      <w:bookmarkEnd w:id="23"/>
      <w:r/>
      <w:bookmarkEnd w:id="24"/>
      <w:r/>
      <w:bookmarkEnd w:id="25"/>
      <w:r/>
      <w:bookmarkEnd w:id="26"/>
      <w:r/>
      <w:bookmarkEnd w:id="27"/>
      <w:r>
        <w:rPr>
          <w:rFonts w:ascii="宋体" w:hAnsi="宋体" w:eastAsia="宋体" w:cs="Times New Roman"/>
          <w:b/>
          <w:bCs/>
          <w:sz w:val="24"/>
          <w:szCs w:val="24"/>
        </w:rPr>
        <w:t xml:space="preserve">获取征集文件</w:t>
      </w:r>
      <w:r/>
    </w:p>
    <w:p>
      <w:pPr>
        <w:ind w:firstLine="480"/>
        <w:spacing w:line="500" w:lineRule="atLeast"/>
        <w:rPr>
          <w:rFonts w:ascii="宋体" w:hAnsi="宋体" w:eastAsia="宋体" w:cs="Times New Roman"/>
          <w:sz w:val="24"/>
          <w:szCs w:val="24"/>
          <w:u w:val="single"/>
        </w:rPr>
      </w:pPr>
      <w:r/>
      <w:bookmarkStart w:id="40" w:name="_Toc35393793"/>
      <w:r/>
      <w:bookmarkStart w:id="41" w:name="_Toc38985266"/>
      <w:r/>
      <w:bookmarkStart w:id="42" w:name="_Toc28359082"/>
      <w:r/>
      <w:bookmarkStart w:id="43" w:name="_Toc28359005"/>
      <w:r/>
      <w:bookmarkStart w:id="44" w:name="_Toc35393624"/>
      <w:r>
        <w:rPr>
          <w:rFonts w:ascii="宋体" w:hAnsi="宋体" w:eastAsia="宋体" w:cs="Times New Roman"/>
          <w:sz w:val="24"/>
          <w:szCs w:val="24"/>
        </w:rPr>
        <w:t xml:space="preserve">1.时间：</w:t>
      </w:r>
      <w:r>
        <w:rPr>
          <w:rFonts w:ascii="宋体" w:hAnsi="宋体" w:eastAsia="宋体" w:cs="Times New Roman"/>
          <w:sz w:val="24"/>
          <w:szCs w:val="24"/>
          <w:u w:val="single"/>
        </w:rPr>
        <w:t xml:space="preserve">自征集公告发布之日起5个工作日。</w:t>
      </w:r>
      <w:r/>
    </w:p>
    <w:p>
      <w:pPr>
        <w:ind w:firstLine="480"/>
        <w:jc w:val="left"/>
        <w:spacing w:line="500" w:lineRule="atLeast"/>
        <w:tabs>
          <w:tab w:val="right" w:pos="8720" w:leader="dot"/>
        </w:tabs>
        <w:rPr>
          <w:rFonts w:ascii="宋体" w:hAnsi="宋体" w:eastAsia="宋体" w:cs="Times New Roman"/>
          <w:caps/>
          <w:sz w:val="24"/>
          <w:szCs w:val="24"/>
        </w:rPr>
      </w:pPr>
      <w:r>
        <w:rPr>
          <w:rFonts w:hint="eastAsia" w:ascii="宋体" w:hAnsi="宋体" w:eastAsia="宋体" w:cs="Times New Roman"/>
          <w:caps/>
          <w:sz w:val="24"/>
          <w:szCs w:val="24"/>
        </w:rPr>
        <w:t xml:space="preserve">2.地点：</w:t>
      </w:r>
      <w:r>
        <w:rPr>
          <w:rFonts w:hint="eastAsia" w:ascii="宋体" w:hAnsi="宋体" w:eastAsia="宋体" w:cs="宋体"/>
          <w:caps/>
          <w:sz w:val="24"/>
          <w:szCs w:val="24"/>
        </w:rPr>
        <w:t xml:space="preserve">“苏采云”系统内免费下载(投标人必须在苏采云系统中获取采购文件，方能参与政府采购项目)</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.方式：</w:t>
      </w:r>
      <w:r>
        <w:rPr>
          <w:rFonts w:ascii="宋体" w:hAnsi="宋体" w:eastAsia="宋体" w:cs="宋体"/>
          <w:sz w:val="24"/>
          <w:szCs w:val="24"/>
        </w:rPr>
        <w:t xml:space="preserve">本项目采用网上注册登记方式</w:t>
      </w:r>
      <w:r>
        <w:rPr>
          <w:rFonts w:ascii="宋体" w:hAnsi="宋体" w:eastAsia="宋体" w:cs="Times New Roman"/>
          <w:sz w:val="24"/>
          <w:szCs w:val="24"/>
        </w:rPr>
        <w:t xml:space="preserve">。</w:t>
      </w:r>
      <w:r/>
    </w:p>
    <w:p>
      <w:pPr>
        <w:ind w:firstLine="480"/>
        <w:spacing w:line="500" w:lineRule="atLeast"/>
        <w:rPr>
          <w:rFonts w:ascii="宋体" w:hAnsi="宋体" w:eastAsia="宋体" w:cs="Times New Roman"/>
          <w:sz w:val="24"/>
          <w:szCs w:val="24"/>
          <w:u w:val="single"/>
        </w:rPr>
      </w:pPr>
      <w:r>
        <w:rPr>
          <w:rFonts w:hint="eastAsia" w:ascii="宋体" w:hAnsi="宋体" w:eastAsia="宋体" w:cs="Times New Roman"/>
          <w:sz w:val="24"/>
          <w:szCs w:val="24"/>
        </w:rPr>
        <w:t xml:space="preserve">4.</w:t>
      </w:r>
      <w:r>
        <w:rPr>
          <w:rFonts w:hint="eastAsia" w:ascii="Calibri" w:hAnsi="Calibri" w:eastAsia="宋体" w:cs="Times New Roman"/>
          <w:sz w:val="24"/>
          <w:szCs w:val="24"/>
        </w:rPr>
        <w:t xml:space="preserve">售价：</w:t>
      </w:r>
      <w:r>
        <w:rPr>
          <w:rFonts w:hint="eastAsia" w:ascii="Calibri" w:hAnsi="Calibri" w:eastAsia="宋体" w:cs="Times New Roman"/>
          <w:sz w:val="24"/>
          <w:szCs w:val="24"/>
        </w:rPr>
        <w:t xml:space="preserve">0</w:t>
      </w:r>
      <w:r>
        <w:rPr>
          <w:rFonts w:hint="eastAsia" w:ascii="Calibri" w:hAnsi="Calibri" w:eastAsia="宋体" w:cs="Times New Roman"/>
          <w:sz w:val="24"/>
          <w:szCs w:val="24"/>
        </w:rPr>
        <w:t xml:space="preserve">元</w:t>
      </w:r>
      <w:r/>
    </w:p>
    <w:p>
      <w:pPr>
        <w:ind w:firstLine="482"/>
        <w:spacing w:line="500" w:lineRule="atLeast"/>
        <w:rPr>
          <w:rFonts w:ascii="宋体" w:hAnsi="宋体" w:eastAsia="宋体" w:cs="Times New Roman"/>
          <w:b/>
          <w:bCs/>
          <w:sz w:val="24"/>
          <w:szCs w:val="24"/>
        </w:rPr>
      </w:pPr>
      <w:r>
        <w:rPr>
          <w:rFonts w:ascii="宋体" w:hAnsi="宋体" w:eastAsia="宋体" w:cs="Times New Roman"/>
          <w:b/>
          <w:bCs/>
          <w:sz w:val="24"/>
          <w:szCs w:val="24"/>
        </w:rPr>
        <w:t xml:space="preserve">四、</w:t>
      </w:r>
      <w:bookmarkEnd w:id="40"/>
      <w:r/>
      <w:bookmarkEnd w:id="41"/>
      <w:r/>
      <w:bookmarkEnd w:id="42"/>
      <w:r/>
      <w:bookmarkEnd w:id="43"/>
      <w:r/>
      <w:bookmarkEnd w:id="44"/>
      <w:r>
        <w:rPr>
          <w:rFonts w:ascii="宋体" w:hAnsi="宋体" w:eastAsia="宋体" w:cs="Times New Roman"/>
          <w:b/>
          <w:bCs/>
          <w:sz w:val="24"/>
          <w:szCs w:val="24"/>
        </w:rPr>
        <w:t xml:space="preserve">响应文件的提交方式、截止时间和地点，开启方式、时间和地点</w:t>
      </w:r>
      <w:r/>
    </w:p>
    <w:p>
      <w:pPr>
        <w:ind w:firstLine="480"/>
        <w:spacing w:line="500" w:lineRule="atLeast"/>
        <w:rPr>
          <w:rFonts w:ascii="宋体" w:hAnsi="宋体" w:eastAsia="宋体" w:cs="Times New Roman"/>
          <w:bCs/>
          <w:sz w:val="24"/>
          <w:szCs w:val="24"/>
          <w:u w:val="single"/>
        </w:rPr>
      </w:pPr>
      <w:r>
        <w:rPr>
          <w:rFonts w:ascii="宋体" w:hAnsi="宋体" w:eastAsia="宋体" w:cs="Times New Roman"/>
          <w:bCs/>
          <w:sz w:val="24"/>
          <w:szCs w:val="24"/>
        </w:rPr>
        <w:t xml:space="preserve">1.时间</w:t>
      </w:r>
      <w:r>
        <w:rPr>
          <w:rFonts w:hint="eastAsia" w:ascii="宋体" w:hAnsi="宋体" w:eastAsia="宋体" w:cs="Times New Roman"/>
          <w:bCs/>
          <w:sz w:val="24"/>
          <w:szCs w:val="24"/>
        </w:rPr>
        <w:t xml:space="preserve">:</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年</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12 </w:t>
      </w:r>
      <w:r>
        <w:rPr>
          <w:rFonts w:ascii="宋体" w:hAnsi="宋体" w:eastAsia="宋体" w:cs="Times New Roman"/>
          <w:sz w:val="24"/>
          <w:szCs w:val="24"/>
          <w:u w:val="single"/>
        </w:rPr>
        <w:t xml:space="preserve"> </w:t>
      </w:r>
      <w:r>
        <w:rPr>
          <w:rFonts w:ascii="宋体" w:hAnsi="宋体" w:eastAsia="宋体" w:cs="Times New Roman"/>
          <w:sz w:val="24"/>
          <w:szCs w:val="24"/>
        </w:rPr>
        <w:t xml:space="preserve">月</w:t>
      </w:r>
      <w:r>
        <w:rPr>
          <w:rFonts w:ascii="宋体" w:hAnsi="宋体" w:eastAsia="宋体" w:cs="Times New Roman"/>
          <w:sz w:val="24"/>
          <w:szCs w:val="24"/>
          <w:u w:val="single"/>
        </w:rPr>
        <w:t xml:space="preserve"> </w:t>
      </w:r>
      <w:r>
        <w:rPr>
          <w:rFonts w:ascii="宋体" w:hAnsi="宋体" w:eastAsia="宋体" w:cs="Times New Roman"/>
          <w:sz w:val="24"/>
          <w:szCs w:val="24"/>
          <w:u w:val="single"/>
        </w:rPr>
        <w:t xml:space="preserve">1</w:t>
      </w:r>
      <w:r>
        <w:rPr>
          <w:rFonts w:ascii="宋体" w:hAnsi="宋体" w:eastAsia="宋体" w:cs="Times New Roman"/>
          <w:sz w:val="24"/>
          <w:szCs w:val="24"/>
          <w:u w:val="single"/>
        </w:rPr>
        <w:t xml:space="preserve">8</w:t>
      </w:r>
      <w:r>
        <w:rPr>
          <w:rFonts w:ascii="宋体" w:hAnsi="宋体" w:eastAsia="宋体" w:cs="Times New Roman"/>
          <w:sz w:val="24"/>
          <w:szCs w:val="24"/>
          <w:u w:val="single"/>
        </w:rPr>
        <w:t xml:space="preserve"> </w:t>
      </w:r>
      <w:r>
        <w:rPr>
          <w:rFonts w:ascii="宋体" w:hAnsi="宋体" w:eastAsia="宋体" w:cs="Times New Roman"/>
          <w:sz w:val="24"/>
          <w:szCs w:val="24"/>
        </w:rPr>
        <w:t xml:space="preserve">日</w:t>
      </w:r>
      <w:r>
        <w:rPr>
          <w:rFonts w:hint="eastAsia" w:ascii="宋体" w:hAnsi="宋体" w:eastAsia="宋体" w:cs="Times New Roman"/>
          <w:sz w:val="24"/>
          <w:szCs w:val="24"/>
        </w:rPr>
        <w:t xml:space="preserve">上午9</w:t>
      </w:r>
      <w:r>
        <w:rPr>
          <w:rFonts w:ascii="宋体" w:hAnsi="宋体" w:eastAsia="宋体" w:cs="Times New Roman"/>
          <w:bCs/>
          <w:sz w:val="24"/>
          <w:szCs w:val="24"/>
        </w:rPr>
        <w:t xml:space="preserve">点</w:t>
      </w:r>
      <w:r>
        <w:rPr>
          <w:rFonts w:hint="eastAsia" w:ascii="宋体" w:hAnsi="宋体" w:eastAsia="宋体" w:cs="Times New Roman"/>
          <w:bCs/>
          <w:sz w:val="24"/>
          <w:szCs w:val="24"/>
        </w:rPr>
        <w:t xml:space="preserve">30</w:t>
      </w:r>
      <w:r>
        <w:rPr>
          <w:rFonts w:ascii="宋体" w:hAnsi="宋体" w:eastAsia="宋体" w:cs="Times New Roman"/>
          <w:bCs/>
          <w:sz w:val="24"/>
          <w:szCs w:val="24"/>
        </w:rPr>
        <w:t xml:space="preserve">分（北京时间）</w:t>
      </w:r>
      <w:r/>
    </w:p>
    <w:p>
      <w:pPr>
        <w:ind w:firstLine="480"/>
        <w:spacing w:line="500" w:lineRule="atLeast"/>
        <w:rPr>
          <w:rFonts w:ascii="宋体" w:hAnsi="宋体" w:eastAsia="宋体" w:cs="Times New Roman"/>
          <w:bCs/>
          <w:sz w:val="24"/>
          <w:szCs w:val="24"/>
          <w:u w:val="single"/>
        </w:rPr>
      </w:pPr>
      <w:r>
        <w:rPr>
          <w:rFonts w:ascii="宋体" w:hAnsi="宋体" w:eastAsia="宋体" w:cs="Times New Roman"/>
          <w:sz w:val="24"/>
          <w:szCs w:val="24"/>
        </w:rPr>
        <w:t xml:space="preserve">2.地点</w:t>
      </w:r>
      <w:r>
        <w:rPr>
          <w:rFonts w:hint="eastAsia" w:ascii="宋体" w:hAnsi="宋体" w:eastAsia="宋体" w:cs="Times New Roman"/>
          <w:sz w:val="24"/>
          <w:szCs w:val="24"/>
        </w:rPr>
        <w:t xml:space="preserve">：“苏采云”政府采购交易系统网上开标大厅</w:t>
      </w:r>
      <w:r>
        <w:rPr>
          <w:rFonts w:ascii="宋体" w:hAnsi="宋体" w:eastAsia="宋体" w:cs="Times New Roman"/>
          <w:sz w:val="24"/>
          <w:szCs w:val="24"/>
        </w:rPr>
        <w:t xml:space="preserve">。</w:t>
      </w:r>
      <w:r/>
    </w:p>
    <w:p>
      <w:pPr>
        <w:ind w:firstLine="482"/>
        <w:spacing w:line="500" w:lineRule="atLeast"/>
        <w:rPr>
          <w:rFonts w:ascii="宋体" w:hAnsi="宋体" w:eastAsia="宋体" w:cs="Times New Roman"/>
          <w:b/>
          <w:bCs/>
          <w:sz w:val="24"/>
          <w:szCs w:val="24"/>
        </w:rPr>
      </w:pPr>
      <w:r/>
      <w:bookmarkStart w:id="45" w:name="_Toc28359084"/>
      <w:r/>
      <w:bookmarkStart w:id="46" w:name="_Toc28359007"/>
      <w:r/>
      <w:bookmarkStart w:id="47" w:name="_Toc35393794"/>
      <w:r/>
      <w:bookmarkStart w:id="48" w:name="_Toc35393625"/>
      <w:r/>
      <w:bookmarkStart w:id="49" w:name="_Toc38985267"/>
      <w:r>
        <w:rPr>
          <w:rFonts w:ascii="宋体" w:hAnsi="宋体" w:eastAsia="宋体" w:cs="Times New Roman"/>
          <w:b/>
          <w:bCs/>
          <w:sz w:val="24"/>
          <w:szCs w:val="24"/>
        </w:rPr>
        <w:t xml:space="preserve">五、公告期限</w:t>
      </w:r>
      <w:bookmarkEnd w:id="45"/>
      <w:r/>
      <w:bookmarkEnd w:id="46"/>
      <w:r/>
      <w:bookmarkEnd w:id="47"/>
      <w:r/>
      <w:bookmarkEnd w:id="48"/>
      <w:r/>
      <w:bookmarkEnd w:id="49"/>
      <w:r/>
      <w:r/>
    </w:p>
    <w:p>
      <w:pPr>
        <w:ind w:firstLine="480"/>
        <w:spacing w:line="500" w:lineRule="atLeast"/>
        <w:rPr>
          <w:rFonts w:ascii="宋体" w:hAnsi="宋体" w:eastAsia="宋体" w:cs="Times New Roman"/>
          <w:sz w:val="24"/>
          <w:szCs w:val="24"/>
        </w:rPr>
      </w:pPr>
      <w:r/>
      <w:bookmarkStart w:id="50" w:name="_Toc38985268"/>
      <w:r/>
      <w:bookmarkStart w:id="51" w:name="_Toc35393626"/>
      <w:r/>
      <w:bookmarkStart w:id="52" w:name="_Toc35393795"/>
      <w:r>
        <w:rPr>
          <w:rFonts w:ascii="宋体" w:hAnsi="宋体" w:eastAsia="宋体" w:cs="Times New Roman"/>
          <w:sz w:val="24"/>
          <w:szCs w:val="24"/>
        </w:rPr>
        <w:t xml:space="preserve">自本公告发布之日起5个工作日。</w:t>
      </w:r>
      <w:r/>
    </w:p>
    <w:p>
      <w:pPr>
        <w:numPr>
          <w:ilvl w:val="0"/>
          <w:numId w:val="1"/>
        </w:numPr>
        <w:ind w:firstLine="482"/>
        <w:spacing w:line="500" w:lineRule="atLeast"/>
        <w:rPr>
          <w:rFonts w:ascii="宋体" w:hAnsi="宋体" w:eastAsia="宋体" w:cs="Times New Roman"/>
          <w:b/>
          <w:bCs/>
          <w:sz w:val="24"/>
          <w:szCs w:val="24"/>
        </w:rPr>
      </w:pPr>
      <w:r>
        <w:rPr>
          <w:rFonts w:ascii="宋体" w:hAnsi="宋体" w:eastAsia="宋体" w:cs="Times New Roman"/>
          <w:b/>
          <w:bCs/>
          <w:sz w:val="24"/>
          <w:szCs w:val="24"/>
        </w:rPr>
        <w:t xml:space="preserve">其他补充事宜</w:t>
      </w:r>
      <w:bookmarkEnd w:id="50"/>
      <w:r/>
      <w:bookmarkEnd w:id="51"/>
      <w:r/>
      <w:bookmarkEnd w:id="52"/>
      <w:r/>
      <w:r/>
    </w:p>
    <w:p>
      <w:pPr>
        <w:ind w:firstLine="480"/>
        <w:spacing w:line="500" w:lineRule="atLeast"/>
        <w:rPr>
          <w:rFonts w:ascii="宋体" w:hAnsi="宋体" w:eastAsia="宋体" w:cs="宋体"/>
          <w:sz w:val="24"/>
          <w:szCs w:val="24"/>
        </w:rPr>
      </w:pPr>
      <w:r>
        <w:rPr>
          <w:rFonts w:hint="eastAsia" w:ascii="宋体" w:hAnsi="宋体" w:eastAsia="宋体" w:cs="Times New Roman"/>
          <w:sz w:val="24"/>
          <w:szCs w:val="24"/>
        </w:rPr>
        <w:t xml:space="preserve">1.征集文件获取</w:t>
      </w:r>
      <w:r>
        <w:rPr>
          <w:rFonts w:ascii="宋体" w:hAnsi="宋体" w:eastAsia="宋体" w:cs="宋体"/>
          <w:sz w:val="24"/>
          <w:szCs w:val="24"/>
        </w:rPr>
        <w:t xml:space="preserve">方式：本项目采用网上注册登记方式。</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.1 潜在供应商访问电子招标响应交易平台的网络地址和方法：“苏采云”系统用户注册--获取“CA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 潜在投标人访问“苏采云”系统方法： 江苏省政府采购网首页-“苏采云”链接。 </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.3“CA 数字证书”的获取：</w:t>
      </w:r>
      <w:r/>
    </w:p>
    <w:p>
      <w:pPr>
        <w:ind w:firstLine="480"/>
        <w:spacing w:line="500" w:lineRule="atLeast"/>
        <w:rPr>
          <w:rFonts w:ascii="宋体" w:hAnsi="宋体" w:eastAsia="宋体" w:cs="宋体"/>
          <w:sz w:val="24"/>
          <w:szCs w:val="24"/>
        </w:rPr>
      </w:pPr>
      <w:r>
        <w:rPr>
          <w:rFonts w:ascii="宋体" w:hAnsi="宋体" w:eastAsia="宋体" w:cs="宋体"/>
          <w:sz w:val="24"/>
          <w:szCs w:val="24"/>
        </w:rPr>
        <w:t xml:space="preserve">供应商需办理 CA 锁，“苏采云”系统目前仅支持政务 CA，省内各地区办理 的用于“苏采云”平台的政务 CA 全省通用。盐城地区政务 CA 办理请至亭湖区政务服务中心二楼 226 窗口办理，联系电话：15051556883。</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.4 采购文件（后缀名为“.kedt”）、供应商操作手册及政府采购客户端 工具可通过“苏采云”系统相应链接进行下载。</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.5 招标代理机构（采购代理机构）将数据电文形式的采购文件加载至“苏采云”系统，供潜在供应商下载或者查阅。</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.6 请潜在投标单位提前安装相应的控件（详见《“苏采云”系统供应商操作手册》）并使用谷歌浏览器登录“苏采云”系统参与不见面开评标。</w:t>
      </w:r>
      <w:r/>
    </w:p>
    <w:p>
      <w:pPr>
        <w:ind w:firstLine="720"/>
        <w:spacing w:line="500" w:lineRule="atLeast"/>
        <w:rPr>
          <w:rFonts w:ascii="宋体" w:hAnsi="宋体" w:eastAsia="宋体" w:cs="Times New Roman"/>
          <w:sz w:val="24"/>
          <w:szCs w:val="24"/>
        </w:rPr>
      </w:pPr>
      <w:r>
        <w:rPr>
          <w:rFonts w:ascii="宋体" w:hAnsi="宋体" w:eastAsia="宋体" w:cs="宋体"/>
          <w:sz w:val="24"/>
          <w:szCs w:val="24"/>
        </w:rPr>
        <w:t xml:space="preserve">如潜在投标人未按上述要求操作，将自行承担所产生的风险。</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2.有关本次招标的事项若存在变动或修改，敬请及时关注</w:t>
      </w:r>
      <w:r>
        <w:rPr>
          <w:rFonts w:hint="eastAsia" w:ascii="宋体" w:hAnsi="宋体" w:eastAsia="宋体" w:cs="Times New Roman"/>
          <w:sz w:val="24"/>
          <w:szCs w:val="24"/>
        </w:rPr>
        <w:t xml:space="preserve">采购代理机构</w:t>
      </w:r>
      <w:r>
        <w:rPr>
          <w:rFonts w:ascii="宋体" w:hAnsi="宋体" w:eastAsia="宋体" w:cs="Times New Roman"/>
          <w:sz w:val="24"/>
          <w:szCs w:val="24"/>
        </w:rPr>
        <w:t xml:space="preserve">在</w:t>
      </w:r>
      <w:r>
        <w:rPr>
          <w:rFonts w:hint="eastAsia" w:ascii="宋体" w:hAnsi="宋体" w:eastAsia="宋体" w:cs="Times New Roman"/>
          <w:sz w:val="24"/>
          <w:szCs w:val="24"/>
        </w:rPr>
        <w:t xml:space="preserve">“中国政府采购网”、</w:t>
      </w:r>
      <w:r>
        <w:rPr>
          <w:rFonts w:ascii="宋体" w:hAnsi="宋体" w:eastAsia="宋体" w:cs="Times New Roman"/>
          <w:sz w:val="24"/>
          <w:szCs w:val="24"/>
        </w:rPr>
        <w:t xml:space="preserve">“江苏政府采购网”</w:t>
      </w:r>
      <w:r>
        <w:rPr>
          <w:rFonts w:hint="eastAsia" w:ascii="宋体" w:hAnsi="宋体" w:eastAsia="宋体" w:cs="Times New Roman"/>
          <w:sz w:val="24"/>
          <w:szCs w:val="24"/>
        </w:rPr>
        <w:t xml:space="preserve">、“盐城市政府采购网</w:t>
      </w:r>
      <w:r>
        <w:rPr>
          <w:rFonts w:ascii="宋体" w:hAnsi="宋体" w:eastAsia="宋体" w:cs="Times New Roman"/>
          <w:sz w:val="24"/>
          <w:szCs w:val="24"/>
        </w:rPr>
        <w:t xml:space="preserve">”发布的更正公告。</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3.本次招标不收取投标保证金</w:t>
      </w:r>
      <w:r>
        <w:rPr>
          <w:rFonts w:hint="eastAsia" w:ascii="宋体" w:hAnsi="宋体" w:eastAsia="宋体" w:cs="Times New Roman"/>
          <w:sz w:val="24"/>
          <w:szCs w:val="24"/>
        </w:rPr>
        <w:t xml:space="preserve">，不收取质量保证金</w:t>
      </w:r>
      <w:r>
        <w:rPr>
          <w:rFonts w:ascii="宋体" w:hAnsi="宋体" w:eastAsia="宋体" w:cs="Times New Roman"/>
          <w:sz w:val="24"/>
          <w:szCs w:val="24"/>
        </w:rPr>
        <w:t xml:space="preserve">。</w:t>
      </w:r>
      <w:r/>
    </w:p>
    <w:p>
      <w:pPr>
        <w:ind w:firstLine="480"/>
        <w:spacing w:line="500" w:lineRule="atLeast"/>
        <w:tabs>
          <w:tab w:val="left" w:pos="901" w:leader="none"/>
        </w:tabs>
        <w:rPr>
          <w:rFonts w:ascii="宋体" w:hAnsi="宋体" w:eastAsia="宋体" w:cs="宋体"/>
          <w:sz w:val="24"/>
          <w:szCs w:val="24"/>
          <w:lang w:val="zh-CN"/>
        </w:rPr>
      </w:pPr>
      <w:r>
        <w:rPr>
          <w:rFonts w:hint="eastAsia" w:ascii="宋体" w:hAnsi="宋体" w:eastAsia="宋体" w:cs="Times New Roman"/>
          <w:sz w:val="24"/>
          <w:szCs w:val="24"/>
        </w:rPr>
        <w:t xml:space="preserve">4.因供应商的系统环境、操作等原因导致项目参与、开评标过程中出现问题</w:t>
      </w:r>
      <w:r>
        <w:rPr>
          <w:rFonts w:hint="eastAsia" w:ascii="宋体" w:hAnsi="宋体" w:eastAsia="宋体" w:cs="宋体"/>
          <w:sz w:val="24"/>
          <w:szCs w:val="24"/>
          <w:lang w:val="zh-CN"/>
        </w:rPr>
        <w:t xml:space="preserve">由供应商自行承担负责。</w:t>
      </w:r>
      <w:r/>
    </w:p>
    <w:p>
      <w:pPr>
        <w:ind w:firstLine="480"/>
        <w:spacing w:line="500" w:lineRule="atLeast"/>
        <w:tabs>
          <w:tab w:val="left" w:pos="901" w:leader="none"/>
        </w:tabs>
        <w:rPr>
          <w:rFonts w:ascii="宋体" w:hAnsi="宋体" w:eastAsia="宋体" w:cs="宋体"/>
          <w:sz w:val="24"/>
          <w:szCs w:val="24"/>
          <w:lang w:val="zh-CN"/>
        </w:rPr>
      </w:pPr>
      <w:r>
        <w:rPr>
          <w:rFonts w:hint="eastAsia" w:ascii="宋体" w:hAnsi="宋体" w:eastAsia="宋体" w:cs="宋体"/>
          <w:sz w:val="24"/>
          <w:szCs w:val="24"/>
          <w:lang w:val="zh-CN"/>
        </w:rPr>
        <w:t xml:space="preserve">5.本次征集涉及的相关人</w:t>
      </w:r>
      <w:r>
        <w:rPr>
          <w:rFonts w:ascii="宋体" w:hAnsi="宋体" w:eastAsia="宋体" w:cs="宋体"/>
          <w:sz w:val="24"/>
          <w:szCs w:val="24"/>
          <w:lang w:val="zh-CN"/>
        </w:rPr>
        <w:t xml:space="preserve">员对框架协议</w:t>
      </w:r>
      <w:r>
        <w:rPr>
          <w:rFonts w:hint="eastAsia" w:ascii="宋体" w:hAnsi="宋体" w:eastAsia="宋体" w:cs="宋体"/>
          <w:sz w:val="24"/>
          <w:szCs w:val="24"/>
          <w:lang w:val="zh-CN"/>
        </w:rPr>
        <w:t xml:space="preserve">征集</w:t>
      </w:r>
      <w:r>
        <w:rPr>
          <w:rFonts w:ascii="宋体" w:hAnsi="宋体" w:eastAsia="宋体" w:cs="宋体"/>
          <w:sz w:val="24"/>
          <w:szCs w:val="24"/>
          <w:lang w:val="zh-CN"/>
        </w:rPr>
        <w:t xml:space="preserve">活动中获悉的国家秘密、商业秘密和个人隐私等均负有保密责任</w:t>
      </w:r>
      <w:r>
        <w:rPr>
          <w:rFonts w:hint="eastAsia" w:ascii="宋体" w:hAnsi="宋体" w:eastAsia="宋体" w:cs="宋体"/>
          <w:sz w:val="24"/>
          <w:szCs w:val="24"/>
          <w:lang w:val="zh-CN"/>
        </w:rPr>
        <w:t xml:space="preserve">。</w:t>
      </w:r>
      <w:r/>
    </w:p>
    <w:p>
      <w:pPr>
        <w:ind w:firstLine="480"/>
        <w:spacing w:line="500" w:lineRule="atLeast"/>
        <w:tabs>
          <w:tab w:val="left" w:pos="901" w:leader="none"/>
        </w:tabs>
        <w:rPr>
          <w:rFonts w:ascii="宋体" w:hAnsi="宋体" w:eastAsia="宋体" w:cs="宋体"/>
          <w:sz w:val="24"/>
          <w:szCs w:val="24"/>
          <w:lang w:val="zh-CN"/>
        </w:rPr>
      </w:pPr>
      <w:r>
        <w:rPr>
          <w:rFonts w:hint="eastAsia" w:ascii="宋体" w:hAnsi="宋体" w:eastAsia="宋体" w:cs="宋体"/>
          <w:sz w:val="24"/>
          <w:szCs w:val="24"/>
          <w:lang w:val="zh-CN"/>
        </w:rPr>
        <w:t xml:space="preserve">6.框架协议期间，法律法规政策另有调整的，从其规定。</w:t>
      </w:r>
      <w:r/>
    </w:p>
    <w:p>
      <w:pPr>
        <w:ind w:firstLine="482"/>
        <w:spacing w:line="500" w:lineRule="atLeast"/>
        <w:rPr>
          <w:rFonts w:ascii="宋体" w:hAnsi="宋体" w:eastAsia="宋体" w:cs="Times New Roman"/>
          <w:b/>
          <w:bCs/>
          <w:sz w:val="24"/>
          <w:szCs w:val="24"/>
        </w:rPr>
      </w:pPr>
      <w:r/>
      <w:bookmarkStart w:id="53" w:name="_Toc35393627"/>
      <w:r/>
      <w:bookmarkStart w:id="54" w:name="_Toc35393796"/>
      <w:r/>
      <w:bookmarkStart w:id="55" w:name="_Toc38985269"/>
      <w:r/>
      <w:bookmarkStart w:id="56" w:name="_Toc28359085"/>
      <w:r/>
      <w:bookmarkStart w:id="57" w:name="_Toc28359008"/>
      <w:r>
        <w:rPr>
          <w:rFonts w:ascii="宋体" w:hAnsi="宋体" w:eastAsia="宋体" w:cs="Times New Roman"/>
          <w:b/>
          <w:bCs/>
          <w:sz w:val="24"/>
          <w:szCs w:val="24"/>
        </w:rPr>
        <w:t xml:space="preserve">七、</w:t>
      </w:r>
      <w:bookmarkEnd w:id="53"/>
      <w:r/>
      <w:bookmarkEnd w:id="54"/>
      <w:r/>
      <w:bookmarkEnd w:id="55"/>
      <w:r/>
      <w:bookmarkEnd w:id="56"/>
      <w:r/>
      <w:bookmarkEnd w:id="57"/>
      <w:r>
        <w:rPr>
          <w:rFonts w:ascii="宋体" w:hAnsi="宋体" w:eastAsia="宋体" w:cs="Times New Roman"/>
          <w:b/>
          <w:bCs/>
          <w:sz w:val="24"/>
          <w:szCs w:val="24"/>
        </w:rPr>
        <w:t xml:space="preserve">征集人的相关信息</w:t>
      </w:r>
      <w:r/>
    </w:p>
    <w:p>
      <w:pPr>
        <w:ind w:firstLine="480"/>
        <w:spacing w:line="500" w:lineRule="atLeas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1.采购人信息</w:t>
      </w:r>
      <w:r/>
    </w:p>
    <w:p>
      <w:pPr>
        <w:ind w:firstLine="480"/>
        <w:spacing w:line="500" w:lineRule="atLeast"/>
        <w:rPr>
          <w:rFonts w:ascii="宋体" w:hAnsi="宋体" w:eastAsia="宋体" w:cs="Times New Roman"/>
          <w:sz w:val="24"/>
          <w:szCs w:val="24"/>
        </w:rPr>
      </w:pPr>
      <w:r/>
      <w:bookmarkStart w:id="58" w:name="_Toc28359087"/>
      <w:r/>
      <w:bookmarkStart w:id="59" w:name="_Toc28359010"/>
      <w:r>
        <w:rPr>
          <w:rFonts w:ascii="宋体" w:hAnsi="宋体" w:eastAsia="宋体" w:cs="Times New Roman"/>
          <w:sz w:val="24"/>
          <w:szCs w:val="24"/>
        </w:rPr>
        <w:t xml:space="preserve">征集人：</w:t>
      </w:r>
      <w:bookmarkEnd w:id="58"/>
      <w:r/>
      <w:bookmarkEnd w:id="59"/>
      <w:r>
        <w:rPr>
          <w:rFonts w:hint="eastAsia" w:ascii="宋体" w:hAnsi="宋体" w:eastAsia="宋体" w:cs="Times New Roman"/>
          <w:sz w:val="24"/>
          <w:szCs w:val="24"/>
        </w:rPr>
        <w:t xml:space="preserve">盐城市机关事务管理局</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地　址：</w:t>
      </w:r>
      <w:r>
        <w:rPr>
          <w:rFonts w:hint="eastAsia" w:ascii="宋体" w:hAnsi="宋体" w:eastAsia="宋体" w:cs="Times New Roman"/>
          <w:sz w:val="24"/>
          <w:szCs w:val="24"/>
        </w:rPr>
        <w:t xml:space="preserve">盐城市世纪大道21号</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联系人： 蔡先生</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联系方式：</w:t>
      </w:r>
      <w:r>
        <w:rPr>
          <w:rFonts w:hint="eastAsia" w:ascii="宋体" w:hAnsi="宋体" w:eastAsia="宋体" w:cs="Times New Roman"/>
          <w:sz w:val="24"/>
          <w:szCs w:val="24"/>
        </w:rPr>
        <w:t xml:space="preserve">0515</w:t>
      </w:r>
      <w:r>
        <w:rPr>
          <w:rFonts w:ascii="宋体" w:hAnsi="宋体" w:eastAsia="宋体" w:cs="Times New Roman"/>
          <w:sz w:val="24"/>
          <w:szCs w:val="24"/>
        </w:rPr>
        <w:t xml:space="preserve">-86662402</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名 称：</w:t>
      </w:r>
      <w:r>
        <w:rPr>
          <w:rFonts w:hint="eastAsia" w:ascii="宋体" w:hAnsi="宋体" w:eastAsia="宋体" w:cs="Times New Roman"/>
          <w:sz w:val="24"/>
          <w:szCs w:val="24"/>
        </w:rPr>
        <w:t xml:space="preserve">江苏国信政府采购服务中心有限公司</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地 址：盐城市人民南路38号新龙广场4-11F</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张工、王工</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联系方式：</w:t>
      </w:r>
      <w:bookmarkStart w:id="60" w:name="OLE_LINK36"/>
      <w:r>
        <w:rPr>
          <w:rFonts w:hint="eastAsia" w:ascii="宋体" w:hAnsi="宋体" w:eastAsia="宋体" w:cs="宋体"/>
          <w:sz w:val="24"/>
          <w:szCs w:val="24"/>
        </w:rPr>
        <w:t xml:space="preserve">19962391798</w:t>
      </w:r>
      <w:bookmarkEnd w:id="60"/>
      <w:r/>
      <w:r/>
    </w:p>
    <w:p>
      <w:pPr>
        <w:ind w:firstLine="540"/>
        <w:spacing w:line="500" w:lineRule="atLeast"/>
        <w:rPr>
          <w:rFonts w:ascii="宋体" w:hAnsi="宋体" w:eastAsia="宋体" w:cs="Times New Roman"/>
          <w:sz w:val="24"/>
          <w:szCs w:val="24"/>
        </w:rPr>
      </w:pPr>
      <w:r>
        <w:rPr>
          <w:rFonts w:hint="eastAsia" w:ascii="宋体" w:hAnsi="宋体" w:eastAsia="宋体" w:cs="Times New Roman"/>
          <w:sz w:val="24"/>
          <w:szCs w:val="24"/>
        </w:rPr>
        <w:br w:type="page" w:clear="all"/>
      </w:r>
      <w:r/>
    </w:p>
    <w:p>
      <w:pPr>
        <w:jc w:val="center"/>
        <w:rPr>
          <w:rFonts w:ascii="方正小标宋_GBK" w:hAnsi="方正小标宋_GBK" w:eastAsia="方正小标宋_GBK" w:cs="方正小标宋_GBK"/>
          <w:color w:val="000000"/>
          <w:sz w:val="40"/>
          <w:szCs w:val="40"/>
        </w:rPr>
        <w:outlineLvl w:val="0"/>
      </w:pPr>
      <w:r/>
      <w:bookmarkStart w:id="61" w:name="_Toc120614211"/>
      <w:r/>
      <w:bookmarkStart w:id="62" w:name="_Toc128039579"/>
      <w:r>
        <w:rPr>
          <w:rFonts w:hint="eastAsia" w:ascii="方正小标宋_GBK" w:hAnsi="方正小标宋_GBK" w:eastAsia="方正小标宋_GBK" w:cs="方正小标宋_GBK"/>
          <w:color w:val="000000"/>
          <w:sz w:val="40"/>
          <w:szCs w:val="40"/>
        </w:rPr>
        <w:t xml:space="preserve">第二章  </w:t>
      </w:r>
      <w:bookmarkStart w:id="63" w:name="_Toc513029202"/>
      <w:r/>
      <w:bookmarkStart w:id="64" w:name="_Toc20823274"/>
      <w:r/>
      <w:bookmarkStart w:id="65" w:name="_Toc16938518"/>
      <w:r/>
      <w:bookmarkStart w:id="66" w:name="_Toc120614213"/>
      <w:r/>
      <w:bookmarkEnd w:id="61"/>
      <w:r>
        <w:rPr>
          <w:rFonts w:hint="eastAsia" w:ascii="方正小标宋_GBK" w:hAnsi="方正小标宋_GBK" w:eastAsia="方正小标宋_GBK" w:cs="方正小标宋_GBK"/>
          <w:color w:val="000000"/>
          <w:sz w:val="40"/>
          <w:szCs w:val="40"/>
        </w:rPr>
        <w:t xml:space="preserve">供应商须知</w:t>
      </w:r>
      <w:bookmarkEnd w:id="62"/>
      <w:r/>
      <w:bookmarkEnd w:id="63"/>
      <w:r/>
      <w:bookmarkEnd w:id="64"/>
      <w:r/>
      <w:bookmarkEnd w:id="65"/>
      <w:r/>
      <w:bookmarkEnd w:id="66"/>
      <w:r/>
      <w:r/>
    </w:p>
    <w:p>
      <w:pPr>
        <w:ind w:firstLine="482"/>
        <w:spacing w:line="500" w:lineRule="atLeast"/>
        <w:rPr>
          <w:rFonts w:ascii="宋体" w:hAnsi="宋体" w:eastAsia="宋体" w:cs="Times New Roman"/>
          <w:b/>
          <w:bCs/>
          <w:sz w:val="24"/>
          <w:szCs w:val="24"/>
        </w:rPr>
      </w:pPr>
      <w:r/>
      <w:bookmarkStart w:id="67" w:name="_Toc120614214"/>
      <w:r/>
      <w:bookmarkStart w:id="68" w:name="_Toc20823275"/>
      <w:r/>
      <w:bookmarkStart w:id="69" w:name="_Toc16938519"/>
      <w:r/>
      <w:bookmarkStart w:id="70" w:name="_Toc513029203"/>
      <w:r>
        <w:rPr>
          <w:rFonts w:ascii="宋体" w:hAnsi="宋体" w:eastAsia="宋体" w:cs="Times New Roman"/>
          <w:b/>
          <w:bCs/>
          <w:sz w:val="24"/>
          <w:szCs w:val="24"/>
        </w:rPr>
        <w:t xml:space="preserve">一、总则</w:t>
      </w:r>
      <w:bookmarkEnd w:id="67"/>
      <w:r/>
      <w:bookmarkEnd w:id="68"/>
      <w:r/>
      <w:bookmarkEnd w:id="69"/>
      <w:r/>
      <w:bookmarkEnd w:id="70"/>
      <w:r/>
      <w:r/>
    </w:p>
    <w:p>
      <w:pPr>
        <w:ind w:firstLine="480"/>
        <w:spacing w:line="500" w:lineRule="atLeast"/>
        <w:rPr>
          <w:rFonts w:ascii="宋体" w:hAnsi="宋体" w:eastAsia="宋体" w:cs="Times New Roman"/>
          <w:sz w:val="24"/>
          <w:szCs w:val="24"/>
        </w:rPr>
      </w:pPr>
      <w:r/>
      <w:bookmarkStart w:id="71" w:name="_Hlt16619475"/>
      <w:r/>
      <w:bookmarkStart w:id="72" w:name="_Toc458694821"/>
      <w:r/>
      <w:bookmarkStart w:id="73" w:name="_Toc20823276"/>
      <w:r/>
      <w:bookmarkStart w:id="74" w:name="_Toc513029204"/>
      <w:r/>
      <w:bookmarkStart w:id="75" w:name="_Toc16938520"/>
      <w:r/>
      <w:bookmarkEnd w:id="71"/>
      <w:r>
        <w:rPr>
          <w:rFonts w:ascii="宋体" w:hAnsi="宋体" w:eastAsia="宋体" w:cs="Times New Roman"/>
          <w:sz w:val="24"/>
          <w:szCs w:val="24"/>
        </w:rPr>
        <w:t xml:space="preserve">1</w:t>
      </w:r>
      <w:bookmarkEnd w:id="72"/>
      <w:r>
        <w:rPr>
          <w:rFonts w:ascii="宋体" w:hAnsi="宋体" w:eastAsia="宋体" w:cs="Times New Roman"/>
          <w:sz w:val="24"/>
          <w:szCs w:val="24"/>
        </w:rPr>
        <w:t xml:space="preserve">、采购方式</w:t>
      </w:r>
      <w:bookmarkEnd w:id="73"/>
      <w:r/>
      <w:bookmarkEnd w:id="74"/>
      <w:r/>
      <w:bookmarkEnd w:id="75"/>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1.1 本次项目采用封闭式框架协议采购方式，本征集文件仅适用于征集公告中所述项目。</w:t>
      </w:r>
      <w:r/>
    </w:p>
    <w:p>
      <w:pPr>
        <w:ind w:firstLine="480"/>
        <w:spacing w:line="500" w:lineRule="atLeast"/>
        <w:rPr>
          <w:rFonts w:ascii="宋体" w:hAnsi="宋体" w:eastAsia="宋体" w:cs="Times New Roman"/>
          <w:sz w:val="24"/>
          <w:szCs w:val="24"/>
        </w:rPr>
      </w:pPr>
      <w:r/>
      <w:bookmarkStart w:id="76" w:name="_Toc20823277"/>
      <w:r/>
      <w:bookmarkStart w:id="77" w:name="_Toc16938521"/>
      <w:r/>
      <w:bookmarkStart w:id="78" w:name="_Toc513029205"/>
      <w:r>
        <w:rPr>
          <w:rFonts w:ascii="宋体" w:hAnsi="宋体" w:eastAsia="宋体" w:cs="Times New Roman"/>
          <w:sz w:val="24"/>
          <w:szCs w:val="24"/>
        </w:rPr>
        <w:t xml:space="preserve">2、合格的</w:t>
      </w:r>
      <w:bookmarkEnd w:id="76"/>
      <w:r/>
      <w:bookmarkEnd w:id="77"/>
      <w:r/>
      <w:bookmarkEnd w:id="78"/>
      <w:r>
        <w:rPr>
          <w:rFonts w:ascii="宋体" w:hAnsi="宋体" w:eastAsia="宋体" w:cs="Times New Roman"/>
          <w:sz w:val="24"/>
          <w:szCs w:val="24"/>
        </w:rPr>
        <w:t xml:space="preserve">供应商</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2.1满足征集公告中供应商资格要求的规定。</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2.2 满足本征集文件实质性要求和条件的规定。</w:t>
      </w:r>
      <w:r/>
    </w:p>
    <w:p>
      <w:pPr>
        <w:ind w:firstLine="480"/>
        <w:spacing w:line="500" w:lineRule="atLeast"/>
        <w:rPr>
          <w:rFonts w:ascii="宋体" w:hAnsi="宋体" w:eastAsia="宋体" w:cs="Times New Roman"/>
          <w:sz w:val="24"/>
          <w:szCs w:val="24"/>
        </w:rPr>
      </w:pPr>
      <w:r/>
      <w:bookmarkStart w:id="79" w:name="_Toc513029206"/>
      <w:r/>
      <w:bookmarkStart w:id="80" w:name="_Toc16938522"/>
      <w:r/>
      <w:bookmarkStart w:id="81" w:name="_Toc20823278"/>
      <w:r>
        <w:rPr>
          <w:rFonts w:ascii="宋体" w:hAnsi="宋体" w:eastAsia="宋体" w:cs="Times New Roman"/>
          <w:sz w:val="24"/>
          <w:szCs w:val="24"/>
        </w:rPr>
        <w:t xml:space="preserve">3、适用法律</w:t>
      </w:r>
      <w:bookmarkEnd w:id="79"/>
      <w:r/>
      <w:bookmarkEnd w:id="80"/>
      <w:r/>
      <w:bookmarkEnd w:id="81"/>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3.1 本次封闭式框架协议采购活动（以下简称采购活动）及由此产生的框架协议文本和采购合同文本受中华人民共和国有关的法律法规制约和保护。</w:t>
      </w:r>
      <w:r/>
    </w:p>
    <w:p>
      <w:pPr>
        <w:ind w:firstLine="480"/>
        <w:spacing w:line="500" w:lineRule="atLeast"/>
        <w:rPr>
          <w:rFonts w:ascii="宋体" w:hAnsi="宋体" w:eastAsia="宋体" w:cs="Times New Roman"/>
          <w:sz w:val="24"/>
          <w:szCs w:val="24"/>
        </w:rPr>
      </w:pPr>
      <w:r/>
      <w:bookmarkStart w:id="82" w:name="_Toc16938523"/>
      <w:r/>
      <w:bookmarkStart w:id="83" w:name="_Toc462564067"/>
      <w:r/>
      <w:bookmarkStart w:id="84" w:name="_Toc513029207"/>
      <w:r/>
      <w:bookmarkStart w:id="85" w:name="_Toc20823279"/>
      <w:r>
        <w:rPr>
          <w:rFonts w:ascii="宋体" w:hAnsi="宋体" w:eastAsia="宋体" w:cs="Times New Roman"/>
          <w:sz w:val="24"/>
          <w:szCs w:val="24"/>
        </w:rPr>
        <w:t xml:space="preserve">4、参加采购活动的费用</w:t>
      </w:r>
      <w:bookmarkEnd w:id="82"/>
      <w:r/>
      <w:bookmarkEnd w:id="83"/>
      <w:r/>
      <w:bookmarkEnd w:id="84"/>
      <w:r/>
      <w:bookmarkEnd w:id="85"/>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4.1</w:t>
      </w:r>
      <w:r>
        <w:rPr>
          <w:rFonts w:ascii="宋体" w:hAnsi="宋体" w:eastAsia="宋体" w:cs="Times New Roman"/>
          <w:sz w:val="24"/>
          <w:szCs w:val="24"/>
        </w:rPr>
        <w:t xml:space="preserve"> 供应商应自行承担所有与参加采购活动有关的费用，无论采购活动过程中的做法和结果如何，</w:t>
      </w:r>
      <w:r>
        <w:rPr>
          <w:rFonts w:hint="eastAsia" w:ascii="宋体" w:hAnsi="宋体" w:eastAsia="宋体" w:cs="Times New Roman"/>
          <w:sz w:val="24"/>
          <w:szCs w:val="24"/>
        </w:rPr>
        <w:t xml:space="preserve">盐城市机关事务管理局</w:t>
      </w:r>
      <w:r>
        <w:rPr>
          <w:rFonts w:ascii="宋体" w:hAnsi="宋体" w:eastAsia="宋体" w:cs="Times New Roman"/>
          <w:sz w:val="24"/>
          <w:szCs w:val="24"/>
        </w:rPr>
        <w:t xml:space="preserve">（以下简称采购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）在任何情况下均无义务和责任承担这些费用。</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4.2</w:t>
      </w:r>
      <w:r>
        <w:rPr>
          <w:rFonts w:hint="eastAsia" w:ascii="宋体" w:hAnsi="宋体" w:eastAsia="宋体" w:cs="宋体"/>
          <w:sz w:val="24"/>
          <w:szCs w:val="24"/>
        </w:rPr>
        <w:t xml:space="preserve">本次采购活动不收取标书工本费。</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5、</w:t>
      </w:r>
      <w:r>
        <w:rPr>
          <w:rFonts w:ascii="宋体" w:hAnsi="宋体" w:eastAsia="宋体" w:cs="Times New Roman"/>
          <w:sz w:val="24"/>
          <w:szCs w:val="24"/>
        </w:rPr>
        <w:t xml:space="preserve">征集文件的约束力</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5.1</w:t>
      </w:r>
      <w:r>
        <w:rPr>
          <w:rFonts w:ascii="宋体" w:hAnsi="宋体" w:eastAsia="宋体" w:cs="Times New Roman"/>
          <w:sz w:val="24"/>
          <w:szCs w:val="24"/>
        </w:rPr>
        <w:t xml:space="preserve"> 供应商一旦参加本项目采购活动，即被认为接受了本征集文件的规定和约束。</w:t>
      </w:r>
      <w:r/>
    </w:p>
    <w:p>
      <w:pPr>
        <w:ind w:firstLine="482"/>
        <w:spacing w:line="500" w:lineRule="atLeast"/>
        <w:rPr>
          <w:rFonts w:ascii="宋体" w:hAnsi="宋体" w:eastAsia="宋体" w:cs="Times New Roman"/>
          <w:b/>
          <w:bCs/>
          <w:sz w:val="24"/>
          <w:szCs w:val="24"/>
        </w:rPr>
      </w:pPr>
      <w:r/>
      <w:bookmarkStart w:id="86" w:name="_Toc16938525"/>
      <w:r/>
      <w:bookmarkStart w:id="87" w:name="_Toc20823281"/>
      <w:r/>
      <w:bookmarkStart w:id="88" w:name="_Toc120614215"/>
      <w:r/>
      <w:bookmarkStart w:id="89" w:name="_Toc513029209"/>
      <w:r>
        <w:rPr>
          <w:rFonts w:ascii="宋体" w:hAnsi="宋体" w:eastAsia="宋体" w:cs="Times New Roman"/>
          <w:b/>
          <w:bCs/>
          <w:sz w:val="24"/>
          <w:szCs w:val="24"/>
        </w:rPr>
        <w:t xml:space="preserve">二、征集文件</w:t>
      </w:r>
      <w:bookmarkEnd w:id="86"/>
      <w:r/>
      <w:bookmarkEnd w:id="87"/>
      <w:r/>
      <w:bookmarkEnd w:id="88"/>
      <w:r/>
      <w:bookmarkEnd w:id="89"/>
      <w:r/>
      <w:r/>
    </w:p>
    <w:p>
      <w:pPr>
        <w:ind w:firstLine="480"/>
        <w:spacing w:line="500" w:lineRule="atLeast"/>
        <w:rPr>
          <w:rFonts w:ascii="宋体" w:hAnsi="宋体" w:eastAsia="宋体" w:cs="Times New Roman"/>
          <w:sz w:val="24"/>
          <w:szCs w:val="24"/>
        </w:rPr>
      </w:pPr>
      <w:r/>
      <w:bookmarkStart w:id="90" w:name="_Toc20823282"/>
      <w:r/>
      <w:bookmarkStart w:id="91" w:name="_Toc16938526"/>
      <w:r/>
      <w:bookmarkStart w:id="92" w:name="_Toc513029210"/>
      <w:r>
        <w:rPr>
          <w:rFonts w:ascii="宋体" w:hAnsi="宋体" w:eastAsia="宋体" w:cs="Times New Roman"/>
          <w:sz w:val="24"/>
          <w:szCs w:val="24"/>
        </w:rPr>
        <w:t xml:space="preserve">6、征集文件构成</w:t>
      </w:r>
      <w:bookmarkEnd w:id="90"/>
      <w:r/>
      <w:bookmarkEnd w:id="91"/>
      <w:r/>
      <w:bookmarkEnd w:id="92"/>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6.1</w:t>
      </w:r>
      <w:r>
        <w:rPr>
          <w:rFonts w:ascii="宋体" w:hAnsi="宋体" w:eastAsia="宋体" w:cs="Times New Roman"/>
          <w:sz w:val="24"/>
          <w:szCs w:val="24"/>
        </w:rPr>
        <w:t xml:space="preserve"> 征集文件由以下部分组成：</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6.1.1参加征集活动的邀请</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6.1.2供应商须知</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6.1.3框架协议文本</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6.1.4采购需求</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6.1.5确定入围及成交供应商</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6.1.6响应文件格式</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请仔细检查征集文件是否齐全，如有缺漏请立即与采购人联系解决。</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6.2</w:t>
      </w:r>
      <w:r>
        <w:rPr>
          <w:rFonts w:ascii="宋体" w:hAnsi="宋体" w:eastAsia="宋体" w:cs="Times New Roman"/>
          <w:sz w:val="24"/>
          <w:szCs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80"/>
        <w:spacing w:line="500" w:lineRule="atLeast"/>
        <w:rPr>
          <w:rFonts w:ascii="宋体" w:hAnsi="宋体" w:eastAsia="宋体" w:cs="Times New Roman"/>
          <w:sz w:val="24"/>
          <w:szCs w:val="24"/>
        </w:rPr>
      </w:pPr>
      <w:r/>
      <w:bookmarkStart w:id="93" w:name="_Toc16938527"/>
      <w:r/>
      <w:bookmarkStart w:id="94" w:name="_Toc513029211"/>
      <w:r/>
      <w:bookmarkStart w:id="95" w:name="_Toc20823283"/>
      <w:r/>
      <w:bookmarkStart w:id="96" w:name="_Toc462564070"/>
      <w:r>
        <w:rPr>
          <w:rFonts w:ascii="宋体" w:hAnsi="宋体" w:eastAsia="宋体" w:cs="Times New Roman"/>
          <w:sz w:val="24"/>
          <w:szCs w:val="24"/>
        </w:rPr>
        <w:t xml:space="preserve">7、征集文件的澄清</w:t>
      </w:r>
      <w:bookmarkEnd w:id="93"/>
      <w:r/>
      <w:bookmarkEnd w:id="94"/>
      <w:r/>
      <w:bookmarkEnd w:id="95"/>
      <w:r/>
      <w:bookmarkEnd w:id="96"/>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7.1</w:t>
      </w:r>
      <w:r>
        <w:rPr>
          <w:rFonts w:ascii="宋体" w:hAnsi="宋体" w:eastAsia="宋体" w:cs="Times New Roman"/>
          <w:sz w:val="24"/>
          <w:szCs w:val="24"/>
        </w:rPr>
        <w:t xml:space="preserve"> 任何要求对征集文件进行澄清的供应商，应在响应文件提交截止期</w:t>
      </w:r>
      <w:r>
        <w:rPr>
          <w:rFonts w:ascii="宋体" w:hAnsi="宋体" w:eastAsia="宋体" w:cs="Times New Roman"/>
          <w:b/>
          <w:sz w:val="24"/>
          <w:szCs w:val="24"/>
        </w:rPr>
        <w:t xml:space="preserve">十日</w:t>
      </w:r>
      <w:r>
        <w:rPr>
          <w:rFonts w:ascii="宋体" w:hAnsi="宋体" w:eastAsia="宋体" w:cs="Times New Roman"/>
          <w:sz w:val="24"/>
          <w:szCs w:val="24"/>
        </w:rPr>
        <w:t xml:space="preserve">前按征集公告中的通讯地址，以书面形式通知采购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w:t>
      </w:r>
      <w:r/>
    </w:p>
    <w:p>
      <w:pPr>
        <w:ind w:firstLine="480"/>
        <w:spacing w:line="500" w:lineRule="atLeast"/>
        <w:rPr>
          <w:rFonts w:ascii="宋体" w:hAnsi="宋体" w:eastAsia="宋体" w:cs="Times New Roman"/>
          <w:sz w:val="24"/>
          <w:szCs w:val="24"/>
        </w:rPr>
      </w:pPr>
      <w:r/>
      <w:bookmarkStart w:id="97" w:name="_Toc462564071"/>
      <w:r/>
      <w:bookmarkStart w:id="98" w:name="_Toc513029212"/>
      <w:r/>
      <w:bookmarkStart w:id="99" w:name="_Toc20823284"/>
      <w:r/>
      <w:bookmarkStart w:id="100" w:name="_Toc16938528"/>
      <w:r>
        <w:rPr>
          <w:rFonts w:ascii="宋体" w:hAnsi="宋体" w:eastAsia="宋体" w:cs="Times New Roman"/>
          <w:sz w:val="24"/>
          <w:szCs w:val="24"/>
        </w:rPr>
        <w:t xml:space="preserve">8、征集文件的修改</w:t>
      </w:r>
      <w:bookmarkEnd w:id="97"/>
      <w:r/>
      <w:bookmarkEnd w:id="98"/>
      <w:r/>
      <w:bookmarkEnd w:id="99"/>
      <w:r/>
      <w:bookmarkEnd w:id="100"/>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8.1</w:t>
      </w:r>
      <w:r>
        <w:rPr>
          <w:rFonts w:ascii="宋体" w:hAnsi="宋体" w:eastAsia="宋体" w:cs="Times New Roman"/>
          <w:sz w:val="24"/>
          <w:szCs w:val="24"/>
        </w:rPr>
        <w:t xml:space="preserve"> 在响应文件提交截止时间前，采购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可以对征集文件进行修改。</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8.2 </w:t>
      </w:r>
      <w:r>
        <w:rPr>
          <w:rFonts w:ascii="宋体" w:hAnsi="宋体" w:eastAsia="宋体" w:cs="Times New Roman"/>
          <w:sz w:val="24"/>
          <w:szCs w:val="24"/>
        </w:rPr>
        <w:t xml:space="preserve">采购人有权按照法定的要求推迟响应文件提交截止日期和开启日期。</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8.3 </w:t>
      </w:r>
      <w:r>
        <w:rPr>
          <w:rFonts w:ascii="宋体" w:hAnsi="宋体" w:eastAsia="宋体" w:cs="Times New Roman"/>
          <w:sz w:val="24"/>
          <w:szCs w:val="24"/>
        </w:rPr>
        <w:t xml:space="preserve">征集文件的修改将在“中国政府采购网</w:t>
      </w:r>
      <w:r>
        <w:rPr>
          <w:rFonts w:hint="eastAsia" w:ascii="宋体" w:hAnsi="宋体" w:eastAsia="宋体" w:cs="Times New Roman"/>
          <w:sz w:val="24"/>
          <w:szCs w:val="24"/>
        </w:rPr>
        <w:t xml:space="preserve">”、“</w:t>
      </w:r>
      <w:r>
        <w:rPr>
          <w:rFonts w:ascii="宋体" w:hAnsi="宋体" w:eastAsia="宋体" w:cs="Times New Roman"/>
          <w:sz w:val="24"/>
          <w:szCs w:val="24"/>
        </w:rPr>
        <w:t xml:space="preserve">江苏政府采购网</w:t>
      </w:r>
      <w:r>
        <w:rPr>
          <w:rFonts w:hint="eastAsia" w:ascii="宋体" w:hAnsi="宋体" w:eastAsia="宋体" w:cs="Times New Roman"/>
          <w:sz w:val="24"/>
          <w:szCs w:val="24"/>
        </w:rPr>
        <w:t xml:space="preserve">”、“盐城市政府采购网”</w:t>
      </w:r>
      <w:r>
        <w:rPr>
          <w:rFonts w:ascii="宋体" w:hAnsi="宋体" w:eastAsia="宋体" w:cs="Times New Roman"/>
          <w:sz w:val="24"/>
          <w:szCs w:val="24"/>
        </w:rPr>
        <w:t xml:space="preserve">公布，补充文件将作为征集文件的组成部分，并对供应商具有约束力。</w:t>
      </w:r>
      <w:r/>
    </w:p>
    <w:p>
      <w:pPr>
        <w:ind w:firstLine="482"/>
        <w:spacing w:line="500" w:lineRule="atLeast"/>
        <w:rPr>
          <w:rFonts w:ascii="宋体" w:hAnsi="宋体" w:eastAsia="宋体" w:cs="Times New Roman"/>
          <w:b/>
          <w:bCs/>
          <w:sz w:val="24"/>
          <w:szCs w:val="24"/>
        </w:rPr>
      </w:pPr>
      <w:r/>
      <w:bookmarkStart w:id="101" w:name="_Toc513029213"/>
      <w:r/>
      <w:bookmarkStart w:id="102" w:name="_Toc462564072"/>
      <w:r/>
      <w:bookmarkStart w:id="103" w:name="_Toc120614216"/>
      <w:r/>
      <w:bookmarkStart w:id="104" w:name="_Toc20823285"/>
      <w:r/>
      <w:bookmarkStart w:id="105" w:name="_Toc16938529"/>
      <w:r>
        <w:rPr>
          <w:rFonts w:ascii="宋体" w:hAnsi="宋体" w:eastAsia="宋体" w:cs="Times New Roman"/>
          <w:b/>
          <w:bCs/>
          <w:sz w:val="24"/>
          <w:szCs w:val="24"/>
        </w:rPr>
        <w:t xml:space="preserve">三、响应文件的编制</w:t>
      </w:r>
      <w:bookmarkEnd w:id="101"/>
      <w:r/>
      <w:bookmarkEnd w:id="102"/>
      <w:r/>
      <w:bookmarkEnd w:id="103"/>
      <w:r/>
      <w:bookmarkEnd w:id="104"/>
      <w:r/>
      <w:bookmarkEnd w:id="105"/>
      <w:r/>
      <w:r/>
    </w:p>
    <w:p>
      <w:pPr>
        <w:ind w:firstLine="480"/>
        <w:spacing w:line="500" w:lineRule="atLeast"/>
        <w:rPr>
          <w:rFonts w:ascii="宋体" w:hAnsi="宋体" w:eastAsia="宋体" w:cs="Times New Roman"/>
          <w:b/>
          <w:sz w:val="24"/>
          <w:szCs w:val="24"/>
        </w:rPr>
      </w:pPr>
      <w:r/>
      <w:bookmarkStart w:id="106" w:name="_Toc462564073"/>
      <w:r/>
      <w:bookmarkStart w:id="107" w:name="_Toc20823286"/>
      <w:r/>
      <w:bookmarkStart w:id="108" w:name="_Toc513029214"/>
      <w:r/>
      <w:bookmarkStart w:id="109" w:name="_Toc16938530"/>
      <w:r>
        <w:rPr>
          <w:rFonts w:ascii="宋体" w:hAnsi="宋体" w:eastAsia="宋体" w:cs="Times New Roman"/>
          <w:sz w:val="24"/>
          <w:szCs w:val="24"/>
        </w:rPr>
        <w:t xml:space="preserve">9、响应文件的语言及度量衡单位</w:t>
      </w:r>
      <w:bookmarkEnd w:id="106"/>
      <w:r/>
      <w:bookmarkEnd w:id="107"/>
      <w:r/>
      <w:bookmarkEnd w:id="108"/>
      <w:r/>
      <w:bookmarkEnd w:id="109"/>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9.1</w:t>
      </w:r>
      <w:r>
        <w:rPr>
          <w:rFonts w:ascii="宋体" w:hAnsi="宋体" w:eastAsia="宋体" w:cs="Times New Roman"/>
          <w:sz w:val="24"/>
          <w:szCs w:val="24"/>
        </w:rPr>
        <w:t xml:space="preserve"> 供应商提交的响应文件以及供应商与采购人就采购活动的所有来往通知、函件和文件均应使用</w:t>
      </w:r>
      <w:r>
        <w:rPr>
          <w:rFonts w:ascii="宋体" w:hAnsi="宋体" w:eastAsia="宋体" w:cs="Times New Roman"/>
          <w:b/>
          <w:bCs/>
          <w:sz w:val="24"/>
          <w:szCs w:val="24"/>
        </w:rPr>
        <w:t xml:space="preserve">简体中文</w:t>
      </w:r>
      <w:r>
        <w:rPr>
          <w:rFonts w:ascii="宋体" w:hAnsi="宋体" w:eastAsia="宋体" w:cs="Times New Roman"/>
          <w:sz w:val="24"/>
          <w:szCs w:val="24"/>
        </w:rPr>
        <w:t xml:space="preserve">。</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9.2</w:t>
      </w:r>
      <w:r>
        <w:rPr>
          <w:rFonts w:ascii="宋体" w:hAnsi="宋体" w:eastAsia="宋体" w:cs="Times New Roman"/>
          <w:sz w:val="24"/>
          <w:szCs w:val="24"/>
        </w:rPr>
        <w:t xml:space="preserve"> 除技术性能另有规定外，响应文件所使用的度量衡单位，均须采用国家法定计量单位。</w:t>
      </w:r>
      <w:r/>
    </w:p>
    <w:p>
      <w:pPr>
        <w:ind w:firstLine="480"/>
        <w:spacing w:line="500" w:lineRule="atLeast"/>
        <w:rPr>
          <w:rFonts w:ascii="宋体" w:hAnsi="宋体" w:eastAsia="宋体" w:cs="Times New Roman"/>
          <w:sz w:val="24"/>
          <w:szCs w:val="24"/>
        </w:rPr>
      </w:pPr>
      <w:r/>
      <w:bookmarkStart w:id="110" w:name="_Toc513029215"/>
      <w:r/>
      <w:bookmarkStart w:id="111" w:name="_Toc16938531"/>
      <w:r/>
      <w:bookmarkStart w:id="112" w:name="_Toc462564074"/>
      <w:r/>
      <w:bookmarkStart w:id="113" w:name="_Toc20823287"/>
      <w:r>
        <w:rPr>
          <w:rFonts w:ascii="宋体" w:hAnsi="宋体" w:eastAsia="宋体" w:cs="Times New Roman"/>
          <w:sz w:val="24"/>
          <w:szCs w:val="24"/>
        </w:rPr>
        <w:t xml:space="preserve">10、响应文件构成</w:t>
      </w:r>
      <w:bookmarkEnd w:id="110"/>
      <w:r/>
      <w:bookmarkEnd w:id="111"/>
      <w:r/>
      <w:bookmarkEnd w:id="112"/>
      <w:r/>
      <w:bookmarkEnd w:id="113"/>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10.1</w:t>
      </w:r>
      <w:r>
        <w:rPr>
          <w:rFonts w:ascii="宋体" w:hAnsi="宋体" w:eastAsia="宋体" w:cs="Times New Roman"/>
          <w:sz w:val="24"/>
          <w:szCs w:val="24"/>
        </w:rPr>
        <w:t xml:space="preserve"> 供应商编写的响应文件应包括资格证明文件、符合性证明文件、响应产品明细表、技术要求响应及偏离表、商务要求响应及偏离表、其他证明文件、响应函、报价一览表等部分。</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10.2 如标书制作工具中格式和内容与“中国政府采购网</w:t>
      </w:r>
      <w:r>
        <w:rPr>
          <w:rFonts w:hint="eastAsia" w:ascii="宋体" w:hAnsi="宋体" w:eastAsia="宋体" w:cs="Times New Roman"/>
          <w:sz w:val="24"/>
          <w:szCs w:val="24"/>
        </w:rPr>
        <w:t xml:space="preserve">”“</w:t>
      </w:r>
      <w:r>
        <w:rPr>
          <w:rFonts w:ascii="宋体" w:hAnsi="宋体" w:eastAsia="宋体" w:cs="Times New Roman"/>
          <w:sz w:val="24"/>
          <w:szCs w:val="24"/>
        </w:rPr>
        <w:t xml:space="preserve">江苏政府采购网</w:t>
      </w:r>
      <w:r>
        <w:rPr>
          <w:rFonts w:hint="eastAsia" w:ascii="宋体" w:hAnsi="宋体" w:eastAsia="宋体" w:cs="Times New Roman"/>
          <w:sz w:val="24"/>
          <w:szCs w:val="24"/>
        </w:rPr>
        <w:t xml:space="preserve">”“盐城市政府采购网”</w:t>
      </w:r>
      <w:r>
        <w:rPr>
          <w:rFonts w:ascii="宋体" w:hAnsi="宋体" w:eastAsia="宋体" w:cs="Times New Roman"/>
          <w:sz w:val="24"/>
          <w:szCs w:val="24"/>
        </w:rPr>
        <w:t xml:space="preserve">发布的征集文件不一致，请以“江苏政府采购网”</w:t>
      </w:r>
      <w:r>
        <w:rPr>
          <w:rFonts w:hint="eastAsia" w:ascii="宋体" w:hAnsi="宋体" w:eastAsia="宋体" w:cs="Times New Roman"/>
          <w:sz w:val="24"/>
          <w:szCs w:val="24"/>
        </w:rPr>
        <w:t xml:space="preserve">发</w:t>
      </w:r>
      <w:r>
        <w:rPr>
          <w:rFonts w:ascii="宋体" w:hAnsi="宋体" w:eastAsia="宋体" w:cs="Times New Roman"/>
          <w:sz w:val="24"/>
          <w:szCs w:val="24"/>
        </w:rPr>
        <w:t xml:space="preserve">布的征集文件为准。</w:t>
      </w:r>
      <w:r/>
    </w:p>
    <w:p>
      <w:pPr>
        <w:ind w:firstLine="480"/>
        <w:spacing w:line="500" w:lineRule="atLeast"/>
        <w:rPr>
          <w:rFonts w:ascii="宋体" w:hAnsi="宋体" w:eastAsia="宋体" w:cs="Times New Roman"/>
          <w:sz w:val="24"/>
          <w:szCs w:val="24"/>
        </w:rPr>
      </w:pPr>
      <w:r/>
      <w:bookmarkStart w:id="114" w:name="_Hlt26670486"/>
      <w:r/>
      <w:bookmarkStart w:id="115" w:name="_Hlt26954848"/>
      <w:r/>
      <w:bookmarkStart w:id="116" w:name="_Hlt26670482"/>
      <w:r/>
      <w:bookmarkStart w:id="117" w:name="_Hlt26670360"/>
      <w:r/>
      <w:bookmarkStart w:id="118" w:name="_Hlt26954838"/>
      <w:r/>
      <w:bookmarkStart w:id="119" w:name="_Hlt26954846"/>
      <w:r/>
      <w:bookmarkStart w:id="120" w:name="_Hlt26954731"/>
      <w:r/>
      <w:bookmarkStart w:id="121" w:name="_Hlt26668975"/>
      <w:r/>
      <w:bookmarkEnd w:id="114"/>
      <w:r/>
      <w:bookmarkEnd w:id="115"/>
      <w:r/>
      <w:bookmarkEnd w:id="116"/>
      <w:r/>
      <w:bookmarkEnd w:id="117"/>
      <w:r/>
      <w:bookmarkEnd w:id="118"/>
      <w:r/>
      <w:bookmarkEnd w:id="119"/>
      <w:r/>
      <w:bookmarkEnd w:id="120"/>
      <w:r/>
      <w:bookmarkEnd w:id="121"/>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rPr>
          <w:rFonts w:ascii="宋体" w:hAnsi="宋体" w:eastAsia="宋体" w:cs="Times New Roman"/>
          <w:sz w:val="24"/>
          <w:szCs w:val="24"/>
        </w:rPr>
        <w:t xml:space="preserve">、技术要求响应及偏离表、商务要求响应及偏离表</w:t>
      </w:r>
      <w:r/>
    </w:p>
    <w:p>
      <w:pPr>
        <w:ind w:firstLine="480"/>
        <w:spacing w:line="500" w:lineRule="atLeast"/>
        <w:rPr>
          <w:rFonts w:ascii="宋体" w:hAnsi="宋体" w:eastAsia="宋体" w:cs="Times New Roman"/>
          <w:sz w:val="24"/>
          <w:szCs w:val="24"/>
          <w:lang w:val="zh-CN"/>
        </w:rPr>
      </w:pPr>
      <w:r>
        <w:rPr>
          <w:rFonts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1</w:t>
      </w:r>
      <w:r>
        <w:rPr>
          <w:rFonts w:ascii="宋体" w:hAnsi="宋体" w:eastAsia="宋体" w:cs="Times New Roman"/>
          <w:bCs/>
          <w:sz w:val="24"/>
          <w:szCs w:val="24"/>
          <w:lang w:val="zh-CN"/>
        </w:rPr>
        <w:t xml:space="preserve">.1 </w:t>
      </w:r>
      <w:r>
        <w:rPr>
          <w:rFonts w:ascii="宋体" w:hAnsi="宋体" w:eastAsia="宋体" w:cs="Times New Roman"/>
          <w:sz w:val="24"/>
          <w:szCs w:val="24"/>
          <w:lang w:val="zh-CN"/>
        </w:rPr>
        <w:t xml:space="preserve">供应商需对征集文件中的技术要求与商务要求逐项作出响应或偏离，并说明原因。</w:t>
      </w:r>
      <w:r>
        <w:rPr>
          <w:rFonts w:ascii="宋体" w:hAnsi="宋体" w:eastAsia="宋体" w:cs="Times New Roman"/>
          <w:i/>
          <w:sz w:val="24"/>
          <w:szCs w:val="24"/>
          <w:u w:val="single"/>
          <w:lang w:val="zh-CN"/>
        </w:rPr>
        <w:t xml:space="preserve">供应商响应的技术、商务等条件不得低于采购需求。</w:t>
      </w:r>
      <w:r/>
    </w:p>
    <w:p>
      <w:pPr>
        <w:ind w:firstLine="480"/>
        <w:spacing w:line="500" w:lineRule="atLeast"/>
        <w:rPr>
          <w:rFonts w:ascii="宋体" w:hAnsi="宋体" w:eastAsia="宋体" w:cs="Times New Roman"/>
          <w:sz w:val="24"/>
          <w:szCs w:val="24"/>
          <w:lang w:val="zh-CN"/>
        </w:rPr>
      </w:pPr>
      <w:r>
        <w:rPr>
          <w:rFonts w:ascii="宋体" w:hAnsi="宋体" w:eastAsia="宋体" w:cs="Times New Roman"/>
          <w:sz w:val="24"/>
          <w:szCs w:val="24"/>
          <w:lang w:val="zh-CN"/>
        </w:rPr>
        <w:t xml:space="preserve">1</w:t>
      </w:r>
      <w:r>
        <w:rPr>
          <w:rFonts w:hint="eastAsia" w:ascii="宋体" w:hAnsi="宋体" w:eastAsia="宋体" w:cs="Times New Roman"/>
          <w:sz w:val="24"/>
          <w:szCs w:val="24"/>
        </w:rPr>
        <w:t xml:space="preserve">1</w:t>
      </w:r>
      <w:r>
        <w:rPr>
          <w:rFonts w:ascii="宋体" w:hAnsi="宋体" w:eastAsia="宋体" w:cs="Times New Roman"/>
          <w:sz w:val="24"/>
          <w:szCs w:val="24"/>
          <w:lang w:val="zh-CN"/>
        </w:rPr>
        <w:t xml:space="preserve">.2 供应商可在响应文件中提供认为需要的其他技术文件或说明。</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w:t>
      </w:r>
      <w:r>
        <w:rPr>
          <w:rFonts w:ascii="宋体" w:hAnsi="宋体" w:eastAsia="宋体" w:cs="Times New Roman"/>
          <w:sz w:val="24"/>
          <w:szCs w:val="24"/>
        </w:rPr>
        <w:t xml:space="preserve">、服务承诺</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13.1 </w:t>
      </w:r>
      <w:r>
        <w:rPr>
          <w:rFonts w:ascii="宋体" w:hAnsi="宋体" w:eastAsia="宋体" w:cs="Times New Roman"/>
          <w:sz w:val="24"/>
          <w:szCs w:val="24"/>
          <w:lang w:val="zh-CN"/>
        </w:rPr>
        <w:t xml:space="preserve">供应商</w:t>
      </w:r>
      <w:r>
        <w:rPr>
          <w:rFonts w:ascii="宋体" w:hAnsi="宋体" w:eastAsia="宋体" w:cs="Times New Roman"/>
          <w:sz w:val="24"/>
          <w:szCs w:val="24"/>
        </w:rPr>
        <w:t xml:space="preserve">需根据</w:t>
      </w:r>
      <w:r>
        <w:rPr>
          <w:rFonts w:ascii="宋体" w:hAnsi="宋体" w:eastAsia="宋体" w:cs="Times New Roman"/>
          <w:sz w:val="24"/>
          <w:szCs w:val="24"/>
          <w:lang w:val="zh-CN"/>
        </w:rPr>
        <w:t xml:space="preserve">征集文件</w:t>
      </w:r>
      <w:r>
        <w:rPr>
          <w:rFonts w:ascii="宋体" w:hAnsi="宋体" w:eastAsia="宋体" w:cs="Times New Roman"/>
          <w:sz w:val="24"/>
          <w:szCs w:val="24"/>
        </w:rPr>
        <w:t xml:space="preserve">要求提供有关售后服务的管理制度，售后服务机构的分布情况，售后服务人员的数量、素质、技术水平及售后服务的反应能力等。</w:t>
      </w:r>
      <w:r/>
    </w:p>
    <w:p>
      <w:pPr>
        <w:ind w:firstLine="480"/>
        <w:spacing w:line="500" w:lineRule="atLeast"/>
        <w:rPr>
          <w:rFonts w:ascii="宋体" w:hAnsi="宋体" w:eastAsia="宋体" w:cs="Times New Roman"/>
          <w:sz w:val="24"/>
          <w:szCs w:val="24"/>
        </w:rPr>
      </w:pPr>
      <w:r/>
      <w:bookmarkStart w:id="122" w:name="_Toc14577359"/>
      <w:r/>
      <w:bookmarkStart w:id="123" w:name="_Toc49090510"/>
      <w:r>
        <w:rPr>
          <w:rFonts w:ascii="宋体" w:hAnsi="宋体" w:eastAsia="宋体" w:cs="Times New Roman"/>
          <w:sz w:val="24"/>
          <w:szCs w:val="24"/>
        </w:rPr>
        <w:t xml:space="preserve">1</w:t>
      </w:r>
      <w:r>
        <w:rPr>
          <w:rFonts w:hint="eastAsia" w:ascii="宋体" w:hAnsi="宋体" w:eastAsia="宋体" w:cs="Times New Roman"/>
          <w:sz w:val="24"/>
          <w:szCs w:val="24"/>
        </w:rPr>
        <w:t xml:space="preserve">3</w:t>
      </w:r>
      <w:r>
        <w:rPr>
          <w:rFonts w:ascii="宋体" w:hAnsi="宋体" w:eastAsia="宋体" w:cs="Times New Roman"/>
          <w:sz w:val="24"/>
          <w:szCs w:val="24"/>
        </w:rPr>
        <w:t xml:space="preserve">、响应函和报价一览表</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.1</w:t>
      </w:r>
      <w:r>
        <w:rPr>
          <w:rFonts w:ascii="宋体" w:hAnsi="宋体" w:eastAsia="宋体" w:cs="Times New Roman"/>
          <w:sz w:val="24"/>
          <w:szCs w:val="24"/>
        </w:rPr>
        <w:t xml:space="preserve"> 供应商应按照征集文件中提供的格式完整、正确填写</w:t>
      </w:r>
      <w:r>
        <w:rPr>
          <w:rFonts w:ascii="宋体" w:hAnsi="宋体" w:eastAsia="宋体" w:cs="Times New Roman"/>
          <w:bCs/>
          <w:sz w:val="24"/>
          <w:szCs w:val="24"/>
        </w:rPr>
        <w:t xml:space="preserve">响应函</w:t>
      </w:r>
      <w:r>
        <w:rPr>
          <w:rFonts w:ascii="宋体" w:hAnsi="宋体" w:eastAsia="宋体" w:cs="Times New Roman"/>
          <w:sz w:val="24"/>
          <w:szCs w:val="24"/>
        </w:rPr>
        <w:t xml:space="preserve">、报价一览表。</w:t>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3</w:t>
      </w:r>
      <w:r>
        <w:rPr>
          <w:rFonts w:ascii="宋体" w:hAnsi="宋体" w:eastAsia="宋体" w:cs="Times New Roman"/>
          <w:sz w:val="24"/>
          <w:szCs w:val="24"/>
        </w:rPr>
        <w:t xml:space="preserve">.2</w:t>
      </w:r>
      <w:r>
        <w:rPr>
          <w:rFonts w:ascii="宋体" w:hAnsi="宋体" w:eastAsia="宋体" w:cs="Times New Roman"/>
          <w:bCs/>
          <w:sz w:val="24"/>
          <w:szCs w:val="24"/>
        </w:rPr>
        <w:t xml:space="preserve">响应文件中的产品单价和专用耗材单价无特殊规定的采用人民币报价，以元为单位标注。</w:t>
      </w:r>
      <w:r>
        <w:rPr>
          <w:rFonts w:ascii="宋体" w:hAnsi="宋体" w:eastAsia="宋体" w:cs="Times New Roman"/>
          <w:sz w:val="24"/>
          <w:szCs w:val="24"/>
        </w:rPr>
        <w:t xml:space="preserve">征集文件中另有规定的按规定执行。</w:t>
      </w:r>
      <w:bookmarkEnd w:id="122"/>
      <w:r/>
      <w:bookmarkEnd w:id="123"/>
      <w:r/>
      <w:r/>
    </w:p>
    <w:p>
      <w:pPr>
        <w:ind w:firstLine="480"/>
        <w:spacing w:line="500" w:lineRule="atLeast"/>
        <w:tabs>
          <w:tab w:val="left" w:pos="680" w:leader="none"/>
        </w:tabs>
        <w:rPr>
          <w:rFonts w:ascii="宋体" w:hAnsi="宋体" w:eastAsia="宋体" w:cs="Times New Roman"/>
          <w:sz w:val="24"/>
          <w:szCs w:val="24"/>
        </w:rPr>
      </w:pPr>
      <w:r/>
      <w:bookmarkStart w:id="124" w:name="_Toc49090511"/>
      <w:r/>
      <w:bookmarkStart w:id="125" w:name="_Toc14577360"/>
      <w:r>
        <w:rPr>
          <w:rFonts w:ascii="宋体" w:hAnsi="宋体" w:eastAsia="宋体" w:cs="Times New Roman"/>
          <w:sz w:val="24"/>
          <w:szCs w:val="24"/>
        </w:rPr>
        <w:t xml:space="preserve">1</w:t>
      </w:r>
      <w:r>
        <w:rPr>
          <w:rFonts w:hint="eastAsia" w:ascii="宋体" w:hAnsi="宋体" w:eastAsia="宋体" w:cs="Times New Roman"/>
          <w:sz w:val="24"/>
          <w:szCs w:val="24"/>
        </w:rPr>
        <w:t xml:space="preserve">4</w:t>
      </w:r>
      <w:r>
        <w:rPr>
          <w:rFonts w:ascii="宋体" w:hAnsi="宋体" w:eastAsia="宋体" w:cs="Times New Roman"/>
          <w:sz w:val="24"/>
          <w:szCs w:val="24"/>
        </w:rPr>
        <w:t xml:space="preserve">、响应文件有效期</w:t>
      </w:r>
      <w:bookmarkEnd w:id="124"/>
      <w:r/>
      <w:bookmarkEnd w:id="125"/>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.1响应文件有效期为采购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规定的响应文件提交截止时间之日后</w:t>
      </w:r>
      <w:r>
        <w:rPr>
          <w:rFonts w:ascii="宋体" w:hAnsi="宋体" w:eastAsia="宋体" w:cs="Times New Roman"/>
          <w:b/>
          <w:sz w:val="24"/>
          <w:szCs w:val="24"/>
          <w:u w:val="single"/>
        </w:rPr>
        <w:t xml:space="preserve">九十（90）天</w:t>
      </w:r>
      <w:r>
        <w:rPr>
          <w:rFonts w:ascii="宋体" w:hAnsi="宋体" w:eastAsia="宋体" w:cs="Times New Roman"/>
          <w:bCs/>
          <w:sz w:val="24"/>
          <w:szCs w:val="24"/>
        </w:rPr>
        <w:t xml:space="preserve">。响应文件有效期比规定短的将被视为未实质性响应征集文件而予以拒绝。</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5</w:t>
      </w:r>
      <w:r>
        <w:rPr>
          <w:rFonts w:ascii="宋体" w:hAnsi="宋体" w:eastAsia="宋体" w:cs="Times New Roman"/>
          <w:sz w:val="24"/>
          <w:szCs w:val="24"/>
        </w:rPr>
        <w:t xml:space="preserve">、响应文件有效期的延长</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.1在特殊情况下，采购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于原响应文件有效期满之前，可向供应商提出延长响应文件有效期的要求。这种要求与答复均应采用书面形式。供应商可以拒绝采购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的这一要求而放弃参加采购活动，同意延长响应文件有效期的供应商既不能要求也不允许修改其响应文件。</w:t>
      </w:r>
      <w:r>
        <w:rPr>
          <w:rFonts w:ascii="宋体" w:hAnsi="宋体" w:eastAsia="宋体" w:cs="Times New Roman"/>
          <w:sz w:val="24"/>
          <w:szCs w:val="24"/>
        </w:rPr>
        <w:t xml:space="preserve">受</w:t>
      </w:r>
      <w:r>
        <w:rPr>
          <w:rFonts w:ascii="宋体" w:hAnsi="宋体" w:eastAsia="宋体" w:cs="Times New Roman"/>
          <w:bCs/>
          <w:sz w:val="24"/>
          <w:szCs w:val="24"/>
        </w:rPr>
        <w:t xml:space="preserve">响应文件</w:t>
      </w:r>
      <w:r>
        <w:rPr>
          <w:rFonts w:ascii="宋体" w:hAnsi="宋体" w:eastAsia="宋体" w:cs="Times New Roman"/>
          <w:sz w:val="24"/>
          <w:szCs w:val="24"/>
        </w:rPr>
        <w:t xml:space="preserve">有效期约束的所有权利与义务均延长至新的有效期</w:t>
      </w:r>
      <w:r>
        <w:rPr>
          <w:rFonts w:ascii="宋体" w:hAnsi="宋体" w:eastAsia="宋体" w:cs="Times New Roman"/>
          <w:bCs/>
          <w:sz w:val="24"/>
          <w:szCs w:val="24"/>
        </w:rPr>
        <w:t xml:space="preserve">。</w:t>
      </w:r>
      <w:r/>
    </w:p>
    <w:p>
      <w:pPr>
        <w:ind w:firstLine="482"/>
        <w:spacing w:line="500" w:lineRule="atLeast"/>
        <w:rPr>
          <w:rFonts w:ascii="宋体" w:hAnsi="宋体" w:eastAsia="宋体" w:cs="Times New Roman"/>
          <w:b/>
          <w:bCs/>
          <w:sz w:val="24"/>
          <w:szCs w:val="24"/>
        </w:rPr>
      </w:pPr>
      <w:r/>
      <w:bookmarkStart w:id="126" w:name="_Hlt26954852"/>
      <w:r/>
      <w:bookmarkStart w:id="127" w:name="_Hlt26954739"/>
      <w:r/>
      <w:bookmarkStart w:id="128" w:name="_Toc513029224"/>
      <w:r/>
      <w:bookmarkStart w:id="129" w:name="_Toc120614217"/>
      <w:r/>
      <w:bookmarkStart w:id="130" w:name="_Toc20823296"/>
      <w:r/>
      <w:bookmarkStart w:id="131" w:name="_Toc16938540"/>
      <w:r/>
      <w:bookmarkEnd w:id="126"/>
      <w:r/>
      <w:bookmarkEnd w:id="127"/>
      <w:r>
        <w:rPr>
          <w:rFonts w:ascii="宋体" w:hAnsi="宋体" w:eastAsia="宋体" w:cs="Times New Roman"/>
          <w:b/>
          <w:bCs/>
          <w:sz w:val="24"/>
          <w:szCs w:val="24"/>
        </w:rPr>
        <w:t xml:space="preserve">四、响应文件的递交</w:t>
      </w:r>
      <w:bookmarkEnd w:id="128"/>
      <w:r/>
      <w:bookmarkEnd w:id="129"/>
      <w:r/>
      <w:bookmarkEnd w:id="130"/>
      <w:r/>
      <w:bookmarkEnd w:id="131"/>
      <w:r/>
      <w:r/>
    </w:p>
    <w:p>
      <w:pPr>
        <w:ind w:firstLine="480"/>
        <w:spacing w:line="500" w:lineRule="atLeast"/>
        <w:rPr>
          <w:rFonts w:ascii="宋体" w:hAnsi="宋体" w:eastAsia="宋体" w:cs="Times New Roman"/>
          <w:sz w:val="24"/>
          <w:szCs w:val="24"/>
        </w:rPr>
      </w:pPr>
      <w:r/>
      <w:bookmarkStart w:id="132" w:name="_Toc16938541"/>
      <w:r/>
      <w:bookmarkStart w:id="133" w:name="_Toc462564084"/>
      <w:r/>
      <w:bookmarkStart w:id="134" w:name="_Toc513029225"/>
      <w:r/>
      <w:bookmarkStart w:id="135" w:name="_Toc20823297"/>
      <w:r>
        <w:rPr>
          <w:rFonts w:ascii="宋体" w:hAnsi="宋体" w:eastAsia="宋体" w:cs="Times New Roman"/>
          <w:sz w:val="24"/>
          <w:szCs w:val="24"/>
        </w:rPr>
        <w:t xml:space="preserve">1</w:t>
      </w:r>
      <w:r>
        <w:rPr>
          <w:rFonts w:hint="eastAsia" w:ascii="宋体" w:hAnsi="宋体" w:eastAsia="宋体" w:cs="Times New Roman"/>
          <w:sz w:val="24"/>
          <w:szCs w:val="24"/>
        </w:rPr>
        <w:t xml:space="preserve">6</w:t>
      </w:r>
      <w:r>
        <w:rPr>
          <w:rFonts w:ascii="宋体" w:hAnsi="宋体" w:eastAsia="宋体" w:cs="Times New Roman"/>
          <w:sz w:val="24"/>
          <w:szCs w:val="24"/>
        </w:rPr>
        <w:t xml:space="preserve">、电子响应文件</w:t>
      </w:r>
      <w:bookmarkEnd w:id="132"/>
      <w:r/>
      <w:bookmarkEnd w:id="133"/>
      <w:r/>
      <w:bookmarkEnd w:id="134"/>
      <w:r/>
      <w:bookmarkEnd w:id="135"/>
      <w:r>
        <w:rPr>
          <w:rFonts w:ascii="宋体" w:hAnsi="宋体" w:eastAsia="宋体" w:cs="Times New Roman"/>
          <w:sz w:val="24"/>
          <w:szCs w:val="24"/>
        </w:rPr>
        <w:t xml:space="preserve">的递交</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.1 供应商应当按照</w:t>
      </w:r>
      <w:r>
        <w:rPr>
          <w:rFonts w:ascii="宋体" w:hAnsi="宋体" w:eastAsia="宋体" w:cs="Times New Roman"/>
          <w:sz w:val="24"/>
          <w:szCs w:val="24"/>
        </w:rPr>
        <w:t xml:space="preserve">《操作手册》规定</w:t>
      </w:r>
      <w:r>
        <w:rPr>
          <w:rFonts w:ascii="宋体" w:hAnsi="宋体" w:eastAsia="宋体" w:cs="Times New Roman"/>
          <w:bCs/>
          <w:sz w:val="24"/>
          <w:szCs w:val="24"/>
        </w:rPr>
        <w:t xml:space="preserve">，在响应文件提交截止时间前制作并上传电子响应文件。</w:t>
      </w:r>
      <w:bookmarkStart w:id="136" w:name="_Toc20823298"/>
      <w:r/>
      <w:bookmarkStart w:id="137" w:name="_Toc513029226"/>
      <w:r/>
      <w:bookmarkStart w:id="138" w:name="_Toc16938542"/>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7</w:t>
      </w:r>
      <w:r>
        <w:rPr>
          <w:rFonts w:ascii="宋体" w:hAnsi="宋体" w:eastAsia="宋体" w:cs="Times New Roman"/>
          <w:sz w:val="24"/>
          <w:szCs w:val="24"/>
        </w:rPr>
        <w:t xml:space="preserve">、</w:t>
      </w:r>
      <w:bookmarkEnd w:id="136"/>
      <w:r/>
      <w:bookmarkEnd w:id="137"/>
      <w:r/>
      <w:bookmarkEnd w:id="138"/>
      <w:r>
        <w:rPr>
          <w:rFonts w:ascii="宋体" w:hAnsi="宋体" w:eastAsia="宋体" w:cs="Times New Roman"/>
          <w:sz w:val="24"/>
          <w:szCs w:val="24"/>
        </w:rPr>
        <w:t xml:space="preserve">响应文件提交截止时间</w:t>
      </w:r>
      <w:r/>
    </w:p>
    <w:p>
      <w:pPr>
        <w:ind w:firstLine="482"/>
        <w:spacing w:line="500" w:lineRule="atLeast"/>
        <w:rPr>
          <w:rFonts w:ascii="宋体" w:hAnsi="宋体" w:eastAsia="宋体" w:cs="Times New Roman"/>
          <w:b/>
          <w:i/>
          <w:iCs/>
          <w:sz w:val="24"/>
          <w:szCs w:val="24"/>
          <w:u w:val="single"/>
        </w:rPr>
      </w:pPr>
      <w:r>
        <w:rPr>
          <w:rFonts w:ascii="宋体" w:hAnsi="宋体" w:eastAsia="宋体" w:cs="Times New Roman"/>
          <w:b/>
          <w:i/>
          <w:iCs/>
          <w:sz w:val="24"/>
          <w:szCs w:val="24"/>
          <w:u w:val="single"/>
        </w:rPr>
        <w:t xml:space="preserve">1</w:t>
      </w:r>
      <w:r>
        <w:rPr>
          <w:rFonts w:hint="eastAsia" w:ascii="宋体" w:hAnsi="宋体" w:eastAsia="宋体" w:cs="Times New Roman"/>
          <w:b/>
          <w:i/>
          <w:iCs/>
          <w:sz w:val="24"/>
          <w:szCs w:val="24"/>
          <w:u w:val="single"/>
        </w:rPr>
        <w:t xml:space="preserve">7</w:t>
      </w:r>
      <w:r>
        <w:rPr>
          <w:rFonts w:ascii="宋体" w:hAnsi="宋体" w:eastAsia="宋体" w:cs="Times New Roman"/>
          <w:b/>
          <w:i/>
          <w:iCs/>
          <w:sz w:val="24"/>
          <w:szCs w:val="24"/>
          <w:u w:val="single"/>
        </w:rPr>
        <w:t xml:space="preserve">.1 供应商上传电子响应文件的时间不得迟于征集公告中规定的截止时间。</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供应商应</w:t>
      </w:r>
      <w:r>
        <w:rPr>
          <w:rFonts w:hint="eastAsia" w:ascii="宋体" w:hAnsi="宋体" w:eastAsia="宋体" w:cs="Times New Roman"/>
          <w:bCs/>
          <w:sz w:val="24"/>
          <w:szCs w:val="24"/>
        </w:rPr>
        <w:t xml:space="preserve">充分考虑</w:t>
      </w:r>
      <w:r>
        <w:rPr>
          <w:rFonts w:ascii="宋体" w:hAnsi="宋体" w:eastAsia="宋体" w:cs="Times New Roman"/>
          <w:bCs/>
          <w:sz w:val="24"/>
          <w:szCs w:val="24"/>
        </w:rPr>
        <w:t xml:space="preserve">网络环境、网络带宽等风险因素，如因供应商自身原因造成的电子响应文件上传不</w:t>
      </w:r>
      <w:r>
        <w:rPr>
          <w:rFonts w:hint="eastAsia" w:ascii="宋体" w:hAnsi="宋体" w:eastAsia="宋体" w:cs="Times New Roman"/>
          <w:bCs/>
          <w:sz w:val="24"/>
          <w:szCs w:val="24"/>
        </w:rPr>
        <w:t xml:space="preserve">成功的按照</w:t>
      </w:r>
      <w:r>
        <w:rPr>
          <w:rFonts w:ascii="宋体" w:hAnsi="宋体" w:eastAsia="宋体" w:cs="Times New Roman"/>
          <w:bCs/>
          <w:sz w:val="24"/>
          <w:szCs w:val="24"/>
        </w:rPr>
        <w:t xml:space="preserve">本征集文件第二章第2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.1.2条规定做无效响应处理。</w:t>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7</w:t>
      </w:r>
      <w:r>
        <w:rPr>
          <w:rFonts w:ascii="宋体" w:hAnsi="宋体" w:eastAsia="宋体" w:cs="Times New Roman"/>
          <w:sz w:val="24"/>
          <w:szCs w:val="24"/>
        </w:rPr>
        <w:t xml:space="preserve">.2</w:t>
      </w:r>
      <w:r>
        <w:rPr>
          <w:rFonts w:ascii="宋体" w:hAnsi="宋体" w:eastAsia="宋体" w:cs="Times New Roman"/>
          <w:bCs/>
          <w:sz w:val="24"/>
          <w:szCs w:val="24"/>
        </w:rPr>
        <w:t xml:space="preserve"> 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可以按照规定，通过修改征集文件酌情延长截止日期，在此情况下，供应商的所有权利和义务以及供应商受制的截止日期均应以延长后新的截止日期为准。</w:t>
      </w:r>
      <w:r/>
    </w:p>
    <w:p>
      <w:pPr>
        <w:ind w:firstLine="480"/>
        <w:spacing w:line="500" w:lineRule="atLeast"/>
        <w:rPr>
          <w:rFonts w:ascii="宋体" w:hAnsi="宋体" w:eastAsia="宋体" w:cs="Times New Roman"/>
          <w:sz w:val="24"/>
          <w:szCs w:val="24"/>
        </w:rPr>
      </w:pPr>
      <w:r/>
      <w:bookmarkStart w:id="139" w:name="_Toc513029227"/>
      <w:r/>
      <w:bookmarkStart w:id="140" w:name="_Toc20823299"/>
      <w:r/>
      <w:bookmarkStart w:id="141" w:name="_Toc16938543"/>
      <w:r>
        <w:rPr>
          <w:rFonts w:ascii="宋体" w:hAnsi="宋体" w:eastAsia="宋体" w:cs="Times New Roman"/>
          <w:sz w:val="24"/>
          <w:szCs w:val="24"/>
        </w:rPr>
        <w:t xml:space="preserve">1</w:t>
      </w:r>
      <w:r>
        <w:rPr>
          <w:rFonts w:hint="eastAsia" w:ascii="宋体" w:hAnsi="宋体" w:eastAsia="宋体" w:cs="Times New Roman"/>
          <w:sz w:val="24"/>
          <w:szCs w:val="24"/>
        </w:rPr>
        <w:t xml:space="preserve">8</w:t>
      </w:r>
      <w:r>
        <w:rPr>
          <w:rFonts w:ascii="宋体" w:hAnsi="宋体" w:eastAsia="宋体" w:cs="Times New Roman"/>
          <w:sz w:val="24"/>
          <w:szCs w:val="24"/>
        </w:rPr>
        <w:t xml:space="preserve">、</w:t>
      </w:r>
      <w:bookmarkEnd w:id="139"/>
      <w:r/>
      <w:bookmarkEnd w:id="140"/>
      <w:r/>
      <w:bookmarkEnd w:id="141"/>
      <w:r>
        <w:rPr>
          <w:rFonts w:ascii="宋体" w:hAnsi="宋体" w:eastAsia="宋体" w:cs="Times New Roman"/>
          <w:sz w:val="24"/>
          <w:szCs w:val="24"/>
        </w:rPr>
        <w:t xml:space="preserve">响应文件的拒收</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8</w:t>
      </w:r>
      <w:r>
        <w:rPr>
          <w:rFonts w:ascii="宋体" w:hAnsi="宋体" w:eastAsia="宋体" w:cs="Times New Roman"/>
          <w:bCs/>
          <w:sz w:val="24"/>
          <w:szCs w:val="24"/>
        </w:rPr>
        <w:t xml:space="preserve">.1 采购人拒绝接收在其规定的响应文件提交截止时间后上传的任何响应文件。</w:t>
      </w:r>
      <w:r/>
    </w:p>
    <w:p>
      <w:pPr>
        <w:ind w:firstLine="480"/>
        <w:spacing w:line="500" w:lineRule="atLeast"/>
        <w:rPr>
          <w:rFonts w:ascii="宋体" w:hAnsi="宋体" w:eastAsia="宋体" w:cs="Times New Roman"/>
          <w:sz w:val="24"/>
          <w:szCs w:val="24"/>
        </w:rPr>
      </w:pPr>
      <w:r/>
      <w:bookmarkStart w:id="142" w:name="_Toc20823300"/>
      <w:r/>
      <w:bookmarkStart w:id="143" w:name="_Toc16938544"/>
      <w:r/>
      <w:bookmarkStart w:id="144" w:name="_Toc513029228"/>
      <w:r>
        <w:rPr>
          <w:rFonts w:hint="eastAsia" w:ascii="宋体" w:hAnsi="宋体" w:eastAsia="宋体" w:cs="Times New Roman"/>
          <w:sz w:val="24"/>
          <w:szCs w:val="24"/>
        </w:rPr>
        <w:t xml:space="preserve">19</w:t>
      </w:r>
      <w:r>
        <w:rPr>
          <w:rFonts w:ascii="宋体" w:hAnsi="宋体" w:eastAsia="宋体" w:cs="Times New Roman"/>
          <w:sz w:val="24"/>
          <w:szCs w:val="24"/>
        </w:rPr>
        <w:t xml:space="preserve">、响应文件的撤回和修改</w:t>
      </w:r>
      <w:bookmarkEnd w:id="142"/>
      <w:r/>
      <w:bookmarkEnd w:id="143"/>
      <w:r/>
      <w:bookmarkEnd w:id="144"/>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19</w:t>
      </w:r>
      <w:r>
        <w:rPr>
          <w:rFonts w:ascii="宋体" w:hAnsi="宋体" w:eastAsia="宋体" w:cs="Times New Roman"/>
          <w:sz w:val="24"/>
          <w:szCs w:val="24"/>
        </w:rPr>
        <w:t xml:space="preserve">.1 响应文件的撤回</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19</w:t>
      </w:r>
      <w:r>
        <w:rPr>
          <w:rFonts w:ascii="宋体" w:hAnsi="宋体" w:eastAsia="宋体" w:cs="Times New Roman"/>
          <w:sz w:val="24"/>
          <w:szCs w:val="24"/>
        </w:rPr>
        <w:t xml:space="preserve">.1.1 电子响应文件的撤回</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供应商可在响应文件提交截止时间前，撤回其电子响应文件，具体操作方法见《操作手册》。</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19</w:t>
      </w:r>
      <w:r>
        <w:rPr>
          <w:rFonts w:ascii="宋体" w:hAnsi="宋体" w:eastAsia="宋体" w:cs="Times New Roman"/>
          <w:sz w:val="24"/>
          <w:szCs w:val="24"/>
        </w:rPr>
        <w:t xml:space="preserve">.1.2 供应商撤回电子响应文件，则认为其不再参与本项采购活动。</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19</w:t>
      </w:r>
      <w:r>
        <w:rPr>
          <w:rFonts w:ascii="宋体" w:hAnsi="宋体" w:eastAsia="宋体" w:cs="Times New Roman"/>
          <w:sz w:val="24"/>
          <w:szCs w:val="24"/>
        </w:rPr>
        <w:t xml:space="preserve">.2 响应文件的修改</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供应商可在响应文件提交截止时间前，对其电子响应文件进行修改，具体操作方法见《操作手册》。</w:t>
      </w:r>
      <w:r/>
    </w:p>
    <w:p>
      <w:pPr>
        <w:ind w:firstLine="480"/>
        <w:spacing w:line="500" w:lineRule="atLeast"/>
        <w:rPr>
          <w:rFonts w:ascii="宋体" w:hAnsi="宋体" w:eastAsia="宋体" w:cs="Times New Roman"/>
          <w:bCs/>
          <w:sz w:val="24"/>
          <w:szCs w:val="24"/>
        </w:rPr>
      </w:pPr>
      <w:r>
        <w:rPr>
          <w:rFonts w:hint="eastAsia" w:ascii="宋体" w:hAnsi="宋体" w:eastAsia="宋体" w:cs="Times New Roman"/>
          <w:sz w:val="24"/>
          <w:szCs w:val="24"/>
        </w:rPr>
        <w:t xml:space="preserve">19</w:t>
      </w:r>
      <w:r>
        <w:rPr>
          <w:rFonts w:ascii="宋体" w:hAnsi="宋体" w:eastAsia="宋体" w:cs="Times New Roman"/>
          <w:sz w:val="24"/>
          <w:szCs w:val="24"/>
        </w:rPr>
        <w:t xml:space="preserve">.3</w:t>
      </w:r>
      <w:r>
        <w:rPr>
          <w:rFonts w:ascii="宋体" w:hAnsi="宋体" w:eastAsia="宋体" w:cs="Times New Roman"/>
          <w:bCs/>
          <w:sz w:val="24"/>
          <w:szCs w:val="24"/>
        </w:rPr>
        <w:t xml:space="preserve"> 在</w:t>
      </w:r>
      <w:r>
        <w:rPr>
          <w:rFonts w:ascii="宋体" w:hAnsi="宋体" w:eastAsia="宋体" w:cs="Times New Roman"/>
          <w:sz w:val="24"/>
          <w:szCs w:val="24"/>
        </w:rPr>
        <w:t xml:space="preserve">响应文件提交截止时间</w:t>
      </w:r>
      <w:r>
        <w:rPr>
          <w:rFonts w:ascii="宋体" w:hAnsi="宋体" w:eastAsia="宋体" w:cs="Times New Roman"/>
          <w:bCs/>
          <w:sz w:val="24"/>
          <w:szCs w:val="24"/>
        </w:rPr>
        <w:t xml:space="preserve">之后，供应商不得对其电子响应文件</w:t>
      </w:r>
      <w:r>
        <w:rPr>
          <w:rFonts w:hint="eastAsia" w:ascii="宋体" w:hAnsi="宋体" w:eastAsia="宋体" w:cs="Times New Roman"/>
          <w:bCs/>
          <w:sz w:val="24"/>
          <w:szCs w:val="24"/>
        </w:rPr>
        <w:t xml:space="preserve">做</w:t>
      </w:r>
      <w:r>
        <w:rPr>
          <w:rFonts w:ascii="宋体" w:hAnsi="宋体" w:eastAsia="宋体" w:cs="Times New Roman"/>
          <w:bCs/>
          <w:sz w:val="24"/>
          <w:szCs w:val="24"/>
        </w:rPr>
        <w:t xml:space="preserve">任何修改。</w:t>
      </w:r>
      <w:r/>
    </w:p>
    <w:p>
      <w:pPr>
        <w:ind w:firstLine="480"/>
        <w:spacing w:line="500" w:lineRule="atLeast"/>
        <w:rPr>
          <w:rFonts w:ascii="宋体" w:hAnsi="宋体" w:eastAsia="宋体" w:cs="Times New Roman"/>
          <w:bCs/>
          <w:sz w:val="24"/>
          <w:szCs w:val="24"/>
        </w:rPr>
      </w:pPr>
      <w:r>
        <w:rPr>
          <w:rFonts w:hint="eastAsia" w:ascii="宋体" w:hAnsi="宋体" w:eastAsia="宋体" w:cs="Times New Roman"/>
          <w:sz w:val="24"/>
          <w:szCs w:val="24"/>
        </w:rPr>
        <w:t xml:space="preserve">19</w:t>
      </w:r>
      <w:r>
        <w:rPr>
          <w:rFonts w:ascii="宋体" w:hAnsi="宋体" w:eastAsia="宋体" w:cs="Times New Roman"/>
          <w:sz w:val="24"/>
          <w:szCs w:val="24"/>
        </w:rPr>
        <w:t xml:space="preserve">.4</w:t>
      </w:r>
      <w:r>
        <w:rPr>
          <w:rFonts w:ascii="宋体" w:hAnsi="宋体" w:eastAsia="宋体" w:cs="Times New Roman"/>
          <w:bCs/>
          <w:sz w:val="24"/>
          <w:szCs w:val="24"/>
        </w:rPr>
        <w:t xml:space="preserve"> 在</w:t>
      </w:r>
      <w:r>
        <w:rPr>
          <w:rFonts w:ascii="宋体" w:hAnsi="宋体" w:eastAsia="宋体" w:cs="Times New Roman"/>
          <w:sz w:val="24"/>
          <w:szCs w:val="24"/>
        </w:rPr>
        <w:t xml:space="preserve">响应文件提交截止时间</w:t>
      </w:r>
      <w:r>
        <w:rPr>
          <w:rFonts w:ascii="宋体" w:hAnsi="宋体" w:eastAsia="宋体" w:cs="Times New Roman"/>
          <w:bCs/>
          <w:sz w:val="24"/>
          <w:szCs w:val="24"/>
        </w:rPr>
        <w:t xml:space="preserve">至征集文件中规定的响应文件有效期满之间的这段时间内，供应商不得撤回其电子响应文件。</w:t>
      </w:r>
      <w:r/>
    </w:p>
    <w:p>
      <w:pPr>
        <w:ind w:firstLine="482"/>
        <w:spacing w:line="500" w:lineRule="atLeast"/>
        <w:rPr>
          <w:rFonts w:ascii="宋体" w:hAnsi="宋体" w:eastAsia="宋体" w:cs="Times New Roman"/>
          <w:b/>
          <w:bCs/>
          <w:sz w:val="24"/>
          <w:szCs w:val="24"/>
        </w:rPr>
      </w:pPr>
      <w:r/>
      <w:bookmarkStart w:id="145" w:name="_Toc20823301"/>
      <w:r/>
      <w:bookmarkStart w:id="146" w:name="_Toc16938545"/>
      <w:r/>
      <w:bookmarkStart w:id="147" w:name="_Toc513029229"/>
      <w:r/>
      <w:bookmarkStart w:id="148" w:name="_Toc120614218"/>
      <w:r>
        <w:rPr>
          <w:rFonts w:ascii="宋体" w:hAnsi="宋体" w:eastAsia="宋体" w:cs="Times New Roman"/>
          <w:b/>
          <w:bCs/>
          <w:sz w:val="24"/>
          <w:szCs w:val="24"/>
        </w:rPr>
        <w:t xml:space="preserve">五、响应文件的开启与</w:t>
      </w:r>
      <w:bookmarkEnd w:id="145"/>
      <w:r/>
      <w:bookmarkEnd w:id="146"/>
      <w:r/>
      <w:bookmarkEnd w:id="147"/>
      <w:r/>
      <w:bookmarkEnd w:id="148"/>
      <w:r>
        <w:rPr>
          <w:rFonts w:ascii="宋体" w:hAnsi="宋体" w:eastAsia="宋体" w:cs="Times New Roman"/>
          <w:b/>
          <w:bCs/>
          <w:sz w:val="24"/>
          <w:szCs w:val="24"/>
        </w:rPr>
        <w:t xml:space="preserve">评审</w:t>
      </w:r>
      <w:r/>
    </w:p>
    <w:p>
      <w:pPr>
        <w:ind w:firstLine="480"/>
        <w:spacing w:line="500" w:lineRule="atLeast"/>
        <w:rPr>
          <w:rFonts w:ascii="宋体" w:hAnsi="宋体" w:eastAsia="宋体" w:cs="Times New Roman"/>
          <w:sz w:val="24"/>
          <w:szCs w:val="24"/>
        </w:rPr>
      </w:pPr>
      <w:r/>
      <w:bookmarkStart w:id="149" w:name="_Toc20823302"/>
      <w:r/>
      <w:bookmarkStart w:id="150" w:name="_Toc16938546"/>
      <w:r/>
      <w:bookmarkStart w:id="151" w:name="_Toc513029230"/>
      <w:r>
        <w:rPr>
          <w:rFonts w:ascii="宋体" w:hAnsi="宋体" w:eastAsia="宋体" w:cs="Times New Roman"/>
          <w:sz w:val="24"/>
          <w:szCs w:val="24"/>
        </w:rPr>
        <w:t xml:space="preserve">2</w:t>
      </w:r>
      <w:r>
        <w:rPr>
          <w:rFonts w:hint="eastAsia" w:ascii="宋体" w:hAnsi="宋体" w:eastAsia="宋体" w:cs="Times New Roman"/>
          <w:sz w:val="24"/>
          <w:szCs w:val="24"/>
        </w:rPr>
        <w:t xml:space="preserve">0</w:t>
      </w:r>
      <w:r>
        <w:rPr>
          <w:rFonts w:ascii="宋体" w:hAnsi="宋体" w:eastAsia="宋体" w:cs="Times New Roman"/>
          <w:sz w:val="24"/>
          <w:szCs w:val="24"/>
        </w:rPr>
        <w:t xml:space="preserve">、</w:t>
      </w:r>
      <w:bookmarkEnd w:id="149"/>
      <w:r/>
      <w:bookmarkEnd w:id="150"/>
      <w:r/>
      <w:bookmarkEnd w:id="151"/>
      <w:r>
        <w:rPr>
          <w:rFonts w:ascii="宋体" w:hAnsi="宋体" w:eastAsia="宋体" w:cs="Times New Roman"/>
          <w:sz w:val="24"/>
          <w:szCs w:val="24"/>
        </w:rPr>
        <w:t xml:space="preserve">响应文件的开启</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w:t>
      </w:r>
      <w:r>
        <w:rPr>
          <w:rFonts w:ascii="宋体" w:hAnsi="宋体" w:eastAsia="宋体" w:cs="Times New Roman"/>
          <w:sz w:val="24"/>
          <w:szCs w:val="24"/>
        </w:rPr>
        <w:t xml:space="preserve">.1</w:t>
      </w:r>
      <w:r>
        <w:rPr>
          <w:rFonts w:ascii="宋体" w:hAnsi="宋体" w:eastAsia="宋体" w:cs="Times New Roman"/>
          <w:bCs/>
          <w:sz w:val="24"/>
          <w:szCs w:val="24"/>
        </w:rPr>
        <w:t xml:space="preserve"> 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将在征集公告中规定的时间和地点组织开启响应文件</w:t>
      </w:r>
      <w:r>
        <w:rPr>
          <w:rFonts w:ascii="宋体" w:hAnsi="宋体" w:eastAsia="宋体" w:cs="Times New Roman"/>
          <w:sz w:val="24"/>
          <w:szCs w:val="24"/>
        </w:rPr>
        <w:t xml:space="preserve">。供应商应当按照《操作手册》规定，参加响应文件开启和</w:t>
      </w:r>
      <w:r>
        <w:rPr>
          <w:rFonts w:ascii="宋体" w:hAnsi="宋体" w:eastAsia="宋体" w:cs="Times New Roman"/>
          <w:b/>
          <w:sz w:val="24"/>
          <w:szCs w:val="24"/>
        </w:rPr>
        <w:t xml:space="preserve">在“苏采云”系统规定的时间内对电子响应文件进行解密。</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0</w:t>
      </w:r>
      <w:r>
        <w:rPr>
          <w:rFonts w:ascii="宋体" w:hAnsi="宋体" w:eastAsia="宋体" w:cs="Times New Roman"/>
          <w:bCs/>
          <w:sz w:val="24"/>
          <w:szCs w:val="24"/>
        </w:rPr>
        <w:t xml:space="preserve">.2</w:t>
      </w:r>
      <w:r>
        <w:rPr>
          <w:rFonts w:ascii="宋体" w:hAnsi="宋体" w:eastAsia="宋体" w:cs="Times New Roman"/>
          <w:sz w:val="24"/>
          <w:szCs w:val="24"/>
        </w:rPr>
        <w:t xml:space="preserve">响应文件开启仪式由采购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组织</w:t>
      </w:r>
      <w:r>
        <w:rPr>
          <w:rFonts w:hint="eastAsia" w:ascii="宋体" w:hAnsi="宋体" w:eastAsia="宋体" w:cs="Times New Roman"/>
          <w:sz w:val="24"/>
          <w:szCs w:val="24"/>
        </w:rPr>
        <w:t xml:space="preserve">，</w:t>
      </w:r>
      <w:r>
        <w:rPr>
          <w:rFonts w:ascii="宋体" w:hAnsi="宋体" w:eastAsia="宋体" w:cs="Times New Roman"/>
          <w:sz w:val="24"/>
          <w:szCs w:val="24"/>
        </w:rPr>
        <w:t xml:space="preserve">苏采云系统将自动公布各供应商的报价。</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0</w:t>
      </w:r>
      <w:r>
        <w:rPr>
          <w:rFonts w:ascii="宋体" w:hAnsi="宋体" w:eastAsia="宋体" w:cs="Times New Roman"/>
          <w:bCs/>
          <w:sz w:val="24"/>
          <w:szCs w:val="24"/>
        </w:rPr>
        <w:t xml:space="preserve">.3供应商在</w:t>
      </w:r>
      <w:r>
        <w:rPr>
          <w:rFonts w:ascii="宋体" w:hAnsi="宋体" w:eastAsia="宋体" w:cs="Times New Roman"/>
          <w:sz w:val="24"/>
          <w:szCs w:val="24"/>
        </w:rPr>
        <w:t xml:space="preserve">响应文件开启</w:t>
      </w:r>
      <w:r>
        <w:rPr>
          <w:rFonts w:ascii="宋体" w:hAnsi="宋体" w:eastAsia="宋体" w:cs="Times New Roman"/>
          <w:bCs/>
          <w:sz w:val="24"/>
          <w:szCs w:val="24"/>
        </w:rPr>
        <w:t xml:space="preserve">过程中</w:t>
      </w:r>
      <w:r>
        <w:rPr>
          <w:rFonts w:hint="eastAsia" w:ascii="宋体" w:hAnsi="宋体" w:eastAsia="宋体" w:cs="Times New Roman"/>
          <w:bCs/>
          <w:sz w:val="24"/>
          <w:szCs w:val="24"/>
        </w:rPr>
        <w:t xml:space="preserve">涉及的</w:t>
      </w:r>
      <w:r>
        <w:rPr>
          <w:rFonts w:ascii="宋体" w:hAnsi="宋体" w:eastAsia="宋体" w:cs="Times New Roman"/>
          <w:sz w:val="24"/>
          <w:szCs w:val="24"/>
        </w:rPr>
        <w:t xml:space="preserve">响应</w:t>
      </w:r>
      <w:r>
        <w:rPr>
          <w:rFonts w:ascii="宋体" w:hAnsi="宋体" w:eastAsia="宋体" w:cs="Times New Roman"/>
          <w:bCs/>
          <w:sz w:val="24"/>
          <w:szCs w:val="24"/>
        </w:rPr>
        <w:t xml:space="preserve">文件解密、结果确认等工作，应按照《操作手册》规定执行。</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w:t>
      </w:r>
      <w:r>
        <w:rPr>
          <w:rFonts w:ascii="宋体" w:hAnsi="宋体" w:eastAsia="宋体" w:cs="Times New Roman"/>
          <w:sz w:val="24"/>
          <w:szCs w:val="24"/>
        </w:rPr>
        <w:t xml:space="preserve">.4</w:t>
      </w:r>
      <w:r>
        <w:rPr>
          <w:rFonts w:ascii="宋体" w:hAnsi="宋体" w:eastAsia="宋体" w:cs="Times New Roman"/>
          <w:bCs/>
          <w:sz w:val="24"/>
          <w:szCs w:val="24"/>
        </w:rPr>
        <w:t xml:space="preserve">供应商</w:t>
      </w:r>
      <w:r>
        <w:rPr>
          <w:rFonts w:ascii="宋体" w:hAnsi="宋体" w:eastAsia="宋体" w:cs="Times New Roman"/>
          <w:sz w:val="24"/>
          <w:szCs w:val="24"/>
        </w:rPr>
        <w:t xml:space="preserve">如果对响应文件开启过程和开启记录有疑义，应当根据《操作手册》规定提出，如 “苏采云”系统中《报价记录表》宣布后5分钟内未提出的，视同认可开启结果。</w:t>
      </w:r>
      <w:r/>
    </w:p>
    <w:p>
      <w:pPr>
        <w:ind w:firstLine="480"/>
        <w:spacing w:line="500" w:lineRule="atLeast"/>
        <w:rPr>
          <w:rFonts w:ascii="宋体" w:hAnsi="宋体" w:eastAsia="宋体" w:cs="Times New Roman"/>
          <w:sz w:val="24"/>
          <w:szCs w:val="24"/>
        </w:rPr>
      </w:pPr>
      <w:r/>
      <w:bookmarkStart w:id="152" w:name="_Toc513029231"/>
      <w:r/>
      <w:bookmarkStart w:id="153" w:name="_Toc16938547"/>
      <w:r/>
      <w:bookmarkStart w:id="154" w:name="_Toc20823303"/>
      <w:r>
        <w:rPr>
          <w:rFonts w:ascii="宋体" w:hAnsi="宋体" w:eastAsia="宋体" w:cs="Times New Roman"/>
          <w:sz w:val="24"/>
          <w:szCs w:val="24"/>
        </w:rPr>
        <w:t xml:space="preserve">2</w:t>
      </w:r>
      <w:r>
        <w:rPr>
          <w:rFonts w:hint="eastAsia" w:ascii="宋体" w:hAnsi="宋体" w:eastAsia="宋体" w:cs="Times New Roman"/>
          <w:sz w:val="24"/>
          <w:szCs w:val="24"/>
        </w:rPr>
        <w:t xml:space="preserve">1</w:t>
      </w:r>
      <w:r>
        <w:rPr>
          <w:rFonts w:ascii="宋体" w:hAnsi="宋体" w:eastAsia="宋体" w:cs="Times New Roman"/>
          <w:sz w:val="24"/>
          <w:szCs w:val="24"/>
        </w:rPr>
        <w:t xml:space="preserve">、评审小组</w:t>
      </w:r>
      <w:r/>
    </w:p>
    <w:p>
      <w:pPr>
        <w:ind w:firstLine="480"/>
        <w:spacing w:line="500" w:lineRule="atLeast"/>
        <w:rPr>
          <w:rFonts w:ascii="宋体" w:hAnsi="宋体" w:eastAsia="宋体" w:cs="Times New Roman"/>
          <w:b/>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1</w:t>
      </w:r>
      <w:r>
        <w:rPr>
          <w:rFonts w:ascii="宋体" w:hAnsi="宋体" w:eastAsia="宋体" w:cs="Times New Roman"/>
          <w:sz w:val="24"/>
          <w:szCs w:val="24"/>
        </w:rPr>
        <w:t xml:space="preserve">.1响应文件开启后，采购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将立即组织评审小组进行项目评审。</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1</w:t>
      </w:r>
      <w:r>
        <w:rPr>
          <w:rFonts w:ascii="宋体" w:hAnsi="宋体" w:eastAsia="宋体" w:cs="Times New Roman"/>
          <w:sz w:val="24"/>
          <w:szCs w:val="24"/>
        </w:rPr>
        <w:t xml:space="preserve">.2 评审小组由技术、经济等方面的专家组成，且人员构成符合政府采购有关规定。</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1</w:t>
      </w:r>
      <w:r>
        <w:rPr>
          <w:rFonts w:ascii="宋体" w:hAnsi="宋体" w:eastAsia="宋体" w:cs="Times New Roman"/>
          <w:sz w:val="24"/>
          <w:szCs w:val="24"/>
        </w:rPr>
        <w:t xml:space="preserve">.3评审小组独立工作，负责评审所有响应文件并确定入围供应商。</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2、</w:t>
      </w:r>
      <w:r>
        <w:rPr>
          <w:rFonts w:ascii="宋体" w:hAnsi="宋体" w:eastAsia="宋体" w:cs="Times New Roman"/>
          <w:sz w:val="24"/>
          <w:szCs w:val="24"/>
        </w:rPr>
        <w:t xml:space="preserve">评审过程的保密与公正</w:t>
      </w:r>
      <w:bookmarkEnd w:id="152"/>
      <w:r/>
      <w:bookmarkEnd w:id="153"/>
      <w:r/>
      <w:bookmarkEnd w:id="154"/>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2</w:t>
      </w:r>
      <w:r>
        <w:rPr>
          <w:rFonts w:ascii="宋体" w:hAnsi="宋体" w:eastAsia="宋体" w:cs="Times New Roman"/>
          <w:sz w:val="24"/>
          <w:szCs w:val="24"/>
        </w:rPr>
        <w:t xml:space="preserve">.1</w:t>
      </w:r>
      <w:r>
        <w:rPr>
          <w:rFonts w:ascii="宋体" w:hAnsi="宋体" w:eastAsia="宋体" w:cs="Times New Roman"/>
          <w:bCs/>
          <w:sz w:val="24"/>
          <w:szCs w:val="24"/>
        </w:rPr>
        <w:t xml:space="preserve">凡是与审查、澄清、评价和比较的有关资料以及授标建议等，评审小组成员、采购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均不得向供应商或与评审工作无关的其他人员透露。</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2</w:t>
      </w:r>
      <w:r>
        <w:rPr>
          <w:rFonts w:ascii="宋体" w:hAnsi="宋体" w:eastAsia="宋体" w:cs="Times New Roman"/>
          <w:sz w:val="24"/>
          <w:szCs w:val="24"/>
        </w:rPr>
        <w:t xml:space="preserve">.2在评审过程中，</w:t>
      </w:r>
      <w:r>
        <w:rPr>
          <w:rFonts w:ascii="宋体" w:hAnsi="宋体" w:eastAsia="宋体" w:cs="Times New Roman"/>
          <w:bCs/>
          <w:sz w:val="24"/>
          <w:szCs w:val="24"/>
        </w:rPr>
        <w:t xml:space="preserve">供应商</w:t>
      </w:r>
      <w:r>
        <w:rPr>
          <w:rFonts w:ascii="宋体" w:hAnsi="宋体" w:eastAsia="宋体" w:cs="Times New Roman"/>
          <w:sz w:val="24"/>
          <w:szCs w:val="24"/>
        </w:rPr>
        <w:t xml:space="preserve">不得以任何行为影响评审过程，否则其响应文件将被作为无效响应文件。</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2</w:t>
      </w:r>
      <w:r>
        <w:rPr>
          <w:rFonts w:ascii="宋体" w:hAnsi="宋体" w:eastAsia="宋体" w:cs="Times New Roman"/>
          <w:sz w:val="24"/>
          <w:szCs w:val="24"/>
        </w:rPr>
        <w:t xml:space="preserve">.3在评审期间，采购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将设专门人员与供应商联系。</w:t>
      </w:r>
      <w:r/>
    </w:p>
    <w:p>
      <w:pPr>
        <w:ind w:firstLine="480"/>
        <w:spacing w:line="500" w:lineRule="atLeast"/>
        <w:rPr>
          <w:rFonts w:ascii="宋体" w:hAnsi="宋体" w:eastAsia="宋体" w:cs="Times New Roman"/>
          <w:sz w:val="24"/>
          <w:szCs w:val="24"/>
        </w:rPr>
      </w:pPr>
      <w:r/>
      <w:bookmarkStart w:id="155" w:name="_Toc16938548"/>
      <w:r/>
      <w:bookmarkStart w:id="156" w:name="_Toc20823304"/>
      <w:r/>
      <w:bookmarkStart w:id="157" w:name="_Toc513029232"/>
      <w:r>
        <w:rPr>
          <w:rFonts w:ascii="宋体" w:hAnsi="宋体" w:eastAsia="宋体" w:cs="Times New Roman"/>
          <w:sz w:val="24"/>
          <w:szCs w:val="24"/>
        </w:rPr>
        <w:t xml:space="preserve">2</w:t>
      </w:r>
      <w:r>
        <w:rPr>
          <w:rFonts w:hint="eastAsia" w:ascii="宋体" w:hAnsi="宋体" w:eastAsia="宋体" w:cs="Times New Roman"/>
          <w:sz w:val="24"/>
          <w:szCs w:val="24"/>
        </w:rPr>
        <w:t xml:space="preserve">3、</w:t>
      </w:r>
      <w:r>
        <w:rPr>
          <w:rFonts w:ascii="宋体" w:hAnsi="宋体" w:eastAsia="宋体" w:cs="Times New Roman"/>
          <w:sz w:val="24"/>
          <w:szCs w:val="24"/>
        </w:rPr>
        <w:t xml:space="preserve">响应文件的澄清</w:t>
      </w:r>
      <w:bookmarkEnd w:id="155"/>
      <w:r/>
      <w:bookmarkEnd w:id="156"/>
      <w:r/>
      <w:bookmarkEnd w:id="157"/>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3</w:t>
      </w:r>
      <w:r>
        <w:rPr>
          <w:rFonts w:ascii="宋体" w:hAnsi="宋体" w:eastAsia="宋体" w:cs="Times New Roman"/>
          <w:sz w:val="24"/>
          <w:szCs w:val="24"/>
        </w:rPr>
        <w:t xml:space="preserve">.1评审期间，对于响应文件中含义不明确、同类问题表述不一致或者有明显文字和计算错误的内容，</w:t>
      </w:r>
      <w:r>
        <w:rPr>
          <w:rFonts w:ascii="宋体" w:hAnsi="宋体" w:eastAsia="宋体" w:cs="Times New Roman"/>
          <w:bCs/>
          <w:sz w:val="24"/>
          <w:szCs w:val="24"/>
        </w:rPr>
        <w:t xml:space="preserve">评审小组</w:t>
      </w:r>
      <w:r>
        <w:rPr>
          <w:rFonts w:ascii="宋体" w:hAnsi="宋体" w:eastAsia="宋体" w:cs="Times New Roman"/>
          <w:sz w:val="24"/>
          <w:szCs w:val="24"/>
        </w:rPr>
        <w:t xml:space="preserve">将在苏采云系统中要求供应商作出必要的澄清、说明和补正。</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3</w:t>
      </w:r>
      <w:r>
        <w:rPr>
          <w:rFonts w:ascii="宋体" w:hAnsi="宋体" w:eastAsia="宋体" w:cs="Times New Roman"/>
          <w:sz w:val="24"/>
          <w:szCs w:val="24"/>
        </w:rPr>
        <w:t xml:space="preserve">.2收到</w:t>
      </w:r>
      <w:r>
        <w:rPr>
          <w:rFonts w:ascii="宋体" w:hAnsi="宋体" w:eastAsia="宋体" w:cs="Times New Roman"/>
          <w:bCs/>
          <w:sz w:val="24"/>
          <w:szCs w:val="24"/>
        </w:rPr>
        <w:t xml:space="preserve">评审小组</w:t>
      </w:r>
      <w:r>
        <w:rPr>
          <w:rFonts w:ascii="宋体" w:hAnsi="宋体" w:eastAsia="宋体" w:cs="Times New Roman"/>
          <w:sz w:val="24"/>
          <w:szCs w:val="24"/>
        </w:rPr>
        <w:t xml:space="preserve">澄清、说明和补正要求的供应商应派人按</w:t>
      </w:r>
      <w:r>
        <w:rPr>
          <w:rFonts w:ascii="宋体" w:hAnsi="宋体" w:eastAsia="宋体" w:cs="Times New Roman"/>
          <w:bCs/>
          <w:sz w:val="24"/>
          <w:szCs w:val="24"/>
        </w:rPr>
        <w:t xml:space="preserve">评审小组</w:t>
      </w:r>
      <w:r>
        <w:rPr>
          <w:rFonts w:ascii="宋体" w:hAnsi="宋体" w:eastAsia="宋体" w:cs="Times New Roman"/>
          <w:sz w:val="24"/>
          <w:szCs w:val="24"/>
        </w:rPr>
        <w:t xml:space="preserve">规定的时间和格式在苏采云系统中</w:t>
      </w:r>
      <w:r>
        <w:rPr>
          <w:rFonts w:hint="eastAsia" w:ascii="宋体" w:hAnsi="宋体" w:eastAsia="宋体" w:cs="Times New Roman"/>
          <w:sz w:val="24"/>
          <w:szCs w:val="24"/>
        </w:rPr>
        <w:t xml:space="preserve">作出</w:t>
      </w:r>
      <w:r>
        <w:rPr>
          <w:rFonts w:ascii="宋体" w:hAnsi="宋体" w:eastAsia="宋体" w:cs="Times New Roman"/>
          <w:sz w:val="24"/>
          <w:szCs w:val="24"/>
        </w:rPr>
        <w:t xml:space="preserve">澄清、说明和补正，并加盖CA电子公章。澄清、说明或者补正不得超出征集文件的范围或者改变响应文件的实质性内容。具体操作方式见</w:t>
      </w:r>
      <w:r>
        <w:rPr>
          <w:rFonts w:ascii="宋体" w:hAnsi="宋体" w:eastAsia="宋体" w:cs="Times New Roman"/>
          <w:bCs/>
          <w:sz w:val="24"/>
          <w:szCs w:val="24"/>
        </w:rPr>
        <w:t xml:space="preserve">《操作手册》</w:t>
      </w:r>
      <w:r>
        <w:rPr>
          <w:rFonts w:ascii="宋体" w:hAnsi="宋体" w:eastAsia="宋体" w:cs="Times New Roman"/>
          <w:sz w:val="24"/>
          <w:szCs w:val="24"/>
        </w:rPr>
        <w:t xml:space="preserve">。</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3</w:t>
      </w:r>
      <w:r>
        <w:rPr>
          <w:rFonts w:ascii="宋体" w:hAnsi="宋体" w:eastAsia="宋体" w:cs="Times New Roman"/>
          <w:sz w:val="24"/>
          <w:szCs w:val="24"/>
        </w:rPr>
        <w:t xml:space="preserve">.3供应商如未按规定</w:t>
      </w:r>
      <w:r>
        <w:rPr>
          <w:rFonts w:hint="eastAsia" w:ascii="宋体" w:hAnsi="宋体" w:eastAsia="宋体" w:cs="Times New Roman"/>
          <w:sz w:val="24"/>
          <w:szCs w:val="24"/>
        </w:rPr>
        <w:t xml:space="preserve">作出</w:t>
      </w:r>
      <w:r>
        <w:rPr>
          <w:rFonts w:ascii="宋体" w:hAnsi="宋体" w:eastAsia="宋体" w:cs="Times New Roman"/>
          <w:sz w:val="24"/>
          <w:szCs w:val="24"/>
        </w:rPr>
        <w:t xml:space="preserve">澄清、说明和补正，其风险由供应商自行承担。</w:t>
      </w:r>
      <w:r/>
    </w:p>
    <w:p>
      <w:pPr>
        <w:ind w:firstLine="480"/>
        <w:spacing w:line="500" w:lineRule="atLeast"/>
        <w:widowControl/>
        <w:rPr>
          <w:rFonts w:ascii="宋体" w:hAnsi="宋体" w:eastAsia="宋体" w:cs="宋体"/>
          <w:sz w:val="24"/>
          <w:szCs w:val="20"/>
          <w:lang w:val="zh-CN"/>
        </w:rPr>
      </w:pPr>
      <w:r>
        <w:rPr>
          <w:rFonts w:hint="eastAsia" w:ascii="宋体" w:hAnsi="宋体" w:eastAsia="宋体" w:cs="宋体"/>
          <w:sz w:val="24"/>
          <w:szCs w:val="20"/>
          <w:lang w:val="zh-CN"/>
        </w:rPr>
        <w:t xml:space="preserve">政府采购异常低价审查</w:t>
      </w:r>
      <w:r/>
    </w:p>
    <w:p>
      <w:pPr>
        <w:ind w:firstLine="480"/>
        <w:spacing w:line="500" w:lineRule="atLeast"/>
        <w:widowControl/>
        <w:rPr>
          <w:rFonts w:ascii="宋体" w:hAnsi="宋体" w:eastAsia="宋体" w:cs="宋体"/>
          <w:sz w:val="24"/>
          <w:szCs w:val="20"/>
          <w:lang w:val="zh-CN"/>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3</w:t>
      </w:r>
      <w:r>
        <w:rPr>
          <w:rFonts w:ascii="宋体" w:hAnsi="宋体" w:eastAsia="宋体" w:cs="Times New Roman"/>
          <w:sz w:val="24"/>
          <w:szCs w:val="24"/>
        </w:rPr>
        <w:t xml:space="preserve">.4</w:t>
      </w:r>
      <w:r>
        <w:rPr>
          <w:rFonts w:hint="eastAsia" w:ascii="宋体" w:hAnsi="宋体" w:eastAsia="宋体" w:cs="宋体"/>
          <w:sz w:val="24"/>
          <w:szCs w:val="20"/>
          <w:lang w:val="zh-CN"/>
        </w:rPr>
        <w:t xml:space="preserve">采购人应在采购文件中明确评审委员会启动异常低价投标（响应）审查的情形和具体要求，包括：</w:t>
      </w:r>
      <w:r/>
    </w:p>
    <w:p>
      <w:pPr>
        <w:ind w:firstLine="480"/>
        <w:spacing w:line="500" w:lineRule="atLeast"/>
        <w:widowControl/>
        <w:rPr>
          <w:rFonts w:ascii="宋体" w:hAnsi="宋体" w:eastAsia="宋体" w:cs="宋体"/>
          <w:sz w:val="24"/>
          <w:szCs w:val="20"/>
          <w:lang w:val="zh-CN"/>
        </w:rPr>
      </w:pPr>
      <w:r>
        <w:rPr>
          <w:rFonts w:hint="eastAsia" w:ascii="宋体" w:hAnsi="宋体" w:eastAsia="宋体" w:cs="宋体"/>
          <w:sz w:val="24"/>
          <w:szCs w:val="20"/>
          <w:lang w:val="zh-CN"/>
        </w:rPr>
        <w:t xml:space="preserve">2</w:t>
      </w:r>
      <w:r>
        <w:rPr>
          <w:rFonts w:ascii="宋体" w:hAnsi="宋体" w:eastAsia="宋体" w:cs="宋体"/>
          <w:sz w:val="24"/>
          <w:szCs w:val="20"/>
          <w:lang w:val="zh-CN"/>
        </w:rPr>
        <w:t xml:space="preserve">3.4.1</w:t>
      </w:r>
      <w:r>
        <w:rPr>
          <w:rFonts w:hint="eastAsia" w:ascii="宋体" w:hAnsi="宋体" w:eastAsia="宋体" w:cs="宋体"/>
          <w:sz w:val="24"/>
          <w:szCs w:val="20"/>
          <w:lang w:val="zh-CN"/>
        </w:rPr>
        <w:t xml:space="preserve">评审过程中出现下列情形之一的，评审委员会应当启动异常低价投标（响应）审查程序：</w:t>
      </w:r>
      <w:r/>
    </w:p>
    <w:p>
      <w:pPr>
        <w:ind w:firstLine="480"/>
        <w:spacing w:line="500" w:lineRule="atLeast"/>
        <w:widowControl/>
        <w:rPr>
          <w:rFonts w:ascii="宋体" w:hAnsi="宋体" w:eastAsia="宋体" w:cs="宋体"/>
          <w:sz w:val="24"/>
          <w:szCs w:val="20"/>
          <w:lang w:val="zh-CN"/>
        </w:rPr>
      </w:pPr>
      <w:r>
        <w:rPr>
          <w:rFonts w:ascii="宋体" w:hAnsi="宋体" w:eastAsia="宋体" w:cs="宋体"/>
          <w:sz w:val="24"/>
          <w:szCs w:val="20"/>
          <w:lang w:val="zh-CN"/>
        </w:rPr>
        <w:t xml:space="preserve">23.4.1.1</w:t>
      </w:r>
      <w:r>
        <w:rPr>
          <w:rFonts w:hint="eastAsia" w:ascii="宋体" w:hAnsi="宋体" w:eastAsia="宋体" w:cs="宋体"/>
          <w:sz w:val="24"/>
          <w:szCs w:val="20"/>
          <w:lang w:val="zh-CN"/>
        </w:rPr>
        <w:t xml:space="preserve">投标（响应）报价低于采购项目预算50%的，即投标（响应）报价&lt;采购项目预算×50%；</w:t>
      </w:r>
      <w:r/>
    </w:p>
    <w:p>
      <w:pPr>
        <w:ind w:firstLine="480"/>
        <w:spacing w:line="500" w:lineRule="atLeast"/>
        <w:widowControl/>
        <w:rPr>
          <w:rFonts w:ascii="宋体" w:hAnsi="宋体" w:eastAsia="宋体" w:cs="宋体"/>
          <w:sz w:val="24"/>
          <w:szCs w:val="20"/>
          <w:lang w:val="zh-CN"/>
        </w:rPr>
      </w:pPr>
      <w:r>
        <w:rPr>
          <w:rFonts w:ascii="宋体" w:hAnsi="宋体" w:eastAsia="宋体" w:cs="宋体"/>
          <w:sz w:val="24"/>
          <w:szCs w:val="20"/>
          <w:lang w:val="zh-CN"/>
        </w:rPr>
        <w:t xml:space="preserve">23.4.1.2</w:t>
      </w:r>
      <w:r>
        <w:rPr>
          <w:rFonts w:hint="eastAsia" w:ascii="宋体" w:hAnsi="宋体" w:eastAsia="宋体" w:cs="宋体"/>
          <w:sz w:val="24"/>
          <w:szCs w:val="20"/>
          <w:lang w:val="zh-CN"/>
        </w:rPr>
        <w:t xml:space="preserve">投标（响应）报价低于采购项目最高限价45%的，即投标（响应）报价&lt;采购项目最高限价×45%；</w:t>
      </w:r>
      <w:r/>
    </w:p>
    <w:p>
      <w:pPr>
        <w:ind w:firstLine="480"/>
        <w:spacing w:line="500" w:lineRule="atLeast"/>
        <w:widowControl/>
        <w:rPr>
          <w:rFonts w:ascii="宋体" w:hAnsi="宋体" w:eastAsia="宋体" w:cs="宋体"/>
          <w:sz w:val="24"/>
          <w:szCs w:val="20"/>
          <w:lang w:val="zh-CN"/>
        </w:rPr>
      </w:pPr>
      <w:r>
        <w:rPr>
          <w:rFonts w:ascii="宋体" w:hAnsi="宋体" w:eastAsia="宋体" w:cs="宋体"/>
          <w:sz w:val="24"/>
          <w:szCs w:val="20"/>
          <w:lang w:val="zh-CN"/>
        </w:rPr>
        <w:t xml:space="preserve">23.4.1.3</w:t>
      </w:r>
      <w:r>
        <w:rPr>
          <w:rFonts w:hint="eastAsia" w:ascii="宋体" w:hAnsi="宋体" w:eastAsia="宋体" w:cs="宋体"/>
          <w:sz w:val="24"/>
          <w:szCs w:val="20"/>
          <w:lang w:val="zh-CN"/>
        </w:rPr>
        <w:t xml:space="preserve">评审委员会认定的供应商报价过低、有可能影响产品质量或者不能诚信履约的其他情形。</w:t>
      </w:r>
      <w:r/>
    </w:p>
    <w:p>
      <w:pPr>
        <w:ind w:firstLine="480"/>
        <w:spacing w:line="500" w:lineRule="atLeast"/>
        <w:widowControl/>
        <w:rPr>
          <w:rFonts w:ascii="宋体" w:hAnsi="宋体" w:eastAsia="宋体" w:cs="宋体"/>
          <w:sz w:val="24"/>
          <w:szCs w:val="20"/>
          <w:lang w:val="zh-CN"/>
        </w:rPr>
      </w:pPr>
      <w:r>
        <w:rPr>
          <w:rFonts w:hint="eastAsia" w:ascii="宋体" w:hAnsi="宋体" w:eastAsia="宋体" w:cs="宋体"/>
          <w:sz w:val="24"/>
          <w:szCs w:val="20"/>
          <w:lang w:val="zh-CN"/>
        </w:rPr>
        <w:t xml:space="preserve">2</w:t>
      </w:r>
      <w:r>
        <w:rPr>
          <w:rFonts w:ascii="宋体" w:hAnsi="宋体" w:eastAsia="宋体" w:cs="宋体"/>
          <w:sz w:val="24"/>
          <w:szCs w:val="20"/>
          <w:lang w:val="zh-CN"/>
        </w:rPr>
        <w:t xml:space="preserve">3.4.2</w:t>
      </w:r>
      <w:r>
        <w:rPr>
          <w:rFonts w:hint="eastAsia" w:ascii="宋体" w:hAnsi="宋体" w:eastAsia="宋体" w:cs="宋体"/>
          <w:sz w:val="24"/>
          <w:szCs w:val="20"/>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00" w:lineRule="atLeast"/>
        <w:rPr>
          <w:rFonts w:ascii="宋体" w:hAnsi="宋体" w:eastAsia="宋体" w:cs="Times New Roman"/>
          <w:sz w:val="24"/>
          <w:szCs w:val="24"/>
        </w:rPr>
      </w:pPr>
      <w:r/>
      <w:bookmarkStart w:id="158" w:name="_Toc16938549"/>
      <w:r/>
      <w:bookmarkStart w:id="159" w:name="_Toc20823305"/>
      <w:r/>
      <w:bookmarkStart w:id="160" w:name="_Toc513029233"/>
      <w:r>
        <w:rPr>
          <w:rFonts w:ascii="宋体" w:hAnsi="宋体" w:eastAsia="宋体" w:cs="Times New Roman"/>
          <w:sz w:val="24"/>
          <w:szCs w:val="24"/>
        </w:rPr>
        <w:t xml:space="preserve">2</w:t>
      </w:r>
      <w:r>
        <w:rPr>
          <w:rFonts w:hint="eastAsia" w:ascii="宋体" w:hAnsi="宋体" w:eastAsia="宋体" w:cs="Times New Roman"/>
          <w:sz w:val="24"/>
          <w:szCs w:val="24"/>
        </w:rPr>
        <w:t xml:space="preserve">4</w:t>
      </w:r>
      <w:r>
        <w:rPr>
          <w:rFonts w:ascii="宋体" w:hAnsi="宋体" w:eastAsia="宋体" w:cs="Times New Roman"/>
          <w:sz w:val="24"/>
          <w:szCs w:val="24"/>
        </w:rPr>
        <w:t xml:space="preserve">、对响应文件的初审</w:t>
      </w:r>
      <w:bookmarkEnd w:id="158"/>
      <w:r/>
      <w:bookmarkEnd w:id="159"/>
      <w:r/>
      <w:bookmarkEnd w:id="160"/>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4</w:t>
      </w:r>
      <w:r>
        <w:rPr>
          <w:rFonts w:ascii="宋体" w:hAnsi="宋体" w:eastAsia="宋体" w:cs="Times New Roman"/>
          <w:sz w:val="24"/>
          <w:szCs w:val="24"/>
        </w:rPr>
        <w:t xml:space="preserve">.1</w:t>
      </w:r>
      <w:r>
        <w:rPr>
          <w:rFonts w:ascii="宋体" w:hAnsi="宋体" w:eastAsia="宋体" w:cs="Times New Roman"/>
          <w:bCs/>
          <w:sz w:val="24"/>
          <w:szCs w:val="24"/>
        </w:rPr>
        <w:t xml:space="preserve">响应文件初审分为资格审查和符合性审查。</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.1.1 资格审查：依据法律法规和征集文件规定的资格要求对供应商的资格证明文件进行审查。</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在进行资格审查的同时，采购人将在“信用中国”网站（www.creditchina.gov.cn）查询供应商的信用记录，以确定供应商是否具备参加本次采购活动的资格。查询结果将以网页打印的形式留存并归档。</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.1.2 符合性审查：依据征集活动的规定，由评审小组从响应文件的有效性、完整性和对征集文件的响应程度进行审查，以确定是否对征集文件的实质性要求作出响应。</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.1.3 未通过资格审查或符合性审查的供应商，采购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将在</w:t>
      </w:r>
      <w:r>
        <w:rPr>
          <w:rFonts w:ascii="宋体" w:hAnsi="宋体" w:eastAsia="宋体" w:cs="Times New Roman"/>
          <w:sz w:val="24"/>
          <w:szCs w:val="24"/>
        </w:rPr>
        <w:t xml:space="preserve">“苏采云”系统</w:t>
      </w:r>
      <w:r>
        <w:rPr>
          <w:rFonts w:ascii="宋体" w:hAnsi="宋体" w:eastAsia="宋体" w:cs="Times New Roman"/>
          <w:bCs/>
          <w:sz w:val="24"/>
          <w:szCs w:val="24"/>
        </w:rPr>
        <w:t xml:space="preserve">中告知未通过资格审查或符合性审查的原因，评审结束后，采购</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将不再告知未通过资格审查或符合性审查的原因。</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4</w:t>
      </w:r>
      <w:r>
        <w:rPr>
          <w:rFonts w:ascii="宋体" w:hAnsi="宋体" w:eastAsia="宋体" w:cs="Times New Roman"/>
          <w:sz w:val="24"/>
          <w:szCs w:val="24"/>
        </w:rPr>
        <w:t xml:space="preserve">.2在详细评审之前，</w:t>
      </w:r>
      <w:r>
        <w:rPr>
          <w:rFonts w:ascii="宋体" w:hAnsi="宋体" w:eastAsia="宋体" w:cs="Times New Roman"/>
          <w:bCs/>
          <w:sz w:val="24"/>
          <w:szCs w:val="24"/>
        </w:rPr>
        <w:t xml:space="preserve">评审小组</w:t>
      </w:r>
      <w:r>
        <w:rPr>
          <w:rFonts w:ascii="宋体" w:hAnsi="宋体" w:eastAsia="宋体" w:cs="Times New Roman"/>
          <w:sz w:val="24"/>
          <w:szCs w:val="24"/>
        </w:rPr>
        <w:t xml:space="preserve">将首先审查每份</w:t>
      </w:r>
      <w:r>
        <w:rPr>
          <w:rFonts w:ascii="宋体" w:hAnsi="宋体" w:eastAsia="宋体" w:cs="Times New Roman"/>
          <w:bCs/>
          <w:sz w:val="24"/>
          <w:szCs w:val="24"/>
        </w:rPr>
        <w:t xml:space="preserve">响应文件</w:t>
      </w:r>
      <w:r>
        <w:rPr>
          <w:rFonts w:ascii="宋体" w:hAnsi="宋体" w:eastAsia="宋体" w:cs="Times New Roman"/>
          <w:sz w:val="24"/>
          <w:szCs w:val="24"/>
        </w:rPr>
        <w:t xml:space="preserve">是否实质性响应了征集文件的要求。实质性响应是与征集文件要求的全部条款、条件和规格相符，没有重大偏离或保留的响应。</w:t>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ascii="宋体" w:hAnsi="宋体" w:eastAsia="宋体" w:cs="Times New Roman"/>
          <w:bCs/>
          <w:sz w:val="24"/>
          <w:szCs w:val="24"/>
        </w:rPr>
        <w:t xml:space="preserve">决定响应文件的响应性只根据响应文件本身的内容，而不寻求外部的证据。</w:t>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4</w:t>
      </w:r>
      <w:r>
        <w:rPr>
          <w:rFonts w:ascii="宋体" w:hAnsi="宋体" w:eastAsia="宋体" w:cs="Times New Roman"/>
          <w:sz w:val="24"/>
          <w:szCs w:val="24"/>
        </w:rPr>
        <w:t xml:space="preserve">.3</w:t>
      </w:r>
      <w:r>
        <w:rPr>
          <w:rFonts w:ascii="宋体" w:hAnsi="宋体" w:eastAsia="宋体" w:cs="Times New Roman"/>
          <w:bCs/>
          <w:sz w:val="24"/>
          <w:szCs w:val="24"/>
        </w:rPr>
        <w:t xml:space="preserve">如果响应文件实质上没有响应</w:t>
      </w:r>
      <w:r>
        <w:rPr>
          <w:rFonts w:ascii="宋体" w:hAnsi="宋体" w:eastAsia="宋体" w:cs="Times New Roman"/>
          <w:sz w:val="24"/>
          <w:szCs w:val="24"/>
        </w:rPr>
        <w:t xml:space="preserve">征集文件</w:t>
      </w:r>
      <w:r>
        <w:rPr>
          <w:rFonts w:ascii="宋体" w:hAnsi="宋体" w:eastAsia="宋体" w:cs="Times New Roman"/>
          <w:bCs/>
          <w:sz w:val="24"/>
          <w:szCs w:val="24"/>
        </w:rPr>
        <w:t xml:space="preserve">的要求，</w:t>
      </w:r>
      <w:r>
        <w:rPr>
          <w:rFonts w:ascii="宋体" w:hAnsi="宋体" w:eastAsia="宋体" w:cs="Times New Roman"/>
          <w:sz w:val="24"/>
          <w:szCs w:val="24"/>
        </w:rPr>
        <w:t xml:space="preserve">评审小组</w:t>
      </w:r>
      <w:r>
        <w:rPr>
          <w:rFonts w:ascii="宋体" w:hAnsi="宋体" w:eastAsia="宋体" w:cs="Times New Roman"/>
          <w:bCs/>
          <w:sz w:val="24"/>
          <w:szCs w:val="24"/>
        </w:rPr>
        <w:t xml:space="preserve">将予以拒绝，供应商不得通过修改或撤销不合要求的偏离或保留而使其响应文件成为实质性响应文件。</w:t>
      </w:r>
      <w:r/>
    </w:p>
    <w:p>
      <w:pPr>
        <w:ind w:firstLine="480"/>
        <w:spacing w:line="500" w:lineRule="atLeast"/>
        <w:rPr>
          <w:rFonts w:ascii="宋体" w:hAnsi="宋体" w:eastAsia="宋体" w:cs="Times New Roman"/>
          <w:bCs/>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4</w:t>
      </w:r>
      <w:r>
        <w:rPr>
          <w:rFonts w:ascii="宋体" w:hAnsi="宋体" w:eastAsia="宋体" w:cs="Times New Roman"/>
          <w:sz w:val="24"/>
          <w:szCs w:val="24"/>
        </w:rPr>
        <w:t xml:space="preserve">.4评审小组</w:t>
      </w:r>
      <w:r>
        <w:rPr>
          <w:rFonts w:ascii="宋体" w:hAnsi="宋体" w:eastAsia="宋体" w:cs="Times New Roman"/>
          <w:bCs/>
          <w:sz w:val="24"/>
          <w:szCs w:val="24"/>
        </w:rPr>
        <w:t xml:space="preserve">将允许修正响应文件中不构成重大偏离的、微小的、非正规的、不一致的或不规则的地方，但这些修改不能影响任何供应商相应的名次排列。</w:t>
      </w:r>
      <w:r/>
    </w:p>
    <w:p>
      <w:pPr>
        <w:ind w:firstLine="480"/>
        <w:spacing w:line="500" w:lineRule="atLeast"/>
        <w:rPr>
          <w:rFonts w:ascii="宋体" w:hAnsi="宋体" w:eastAsia="宋体" w:cs="Times New Roman"/>
          <w:sz w:val="24"/>
          <w:szCs w:val="24"/>
        </w:rPr>
      </w:pPr>
      <w:r/>
      <w:bookmarkStart w:id="161" w:name="_Toc20823306"/>
      <w:r/>
      <w:bookmarkStart w:id="162" w:name="_Toc16938550"/>
      <w:r/>
      <w:bookmarkStart w:id="163" w:name="_Toc513029234"/>
      <w:r>
        <w:rPr>
          <w:rFonts w:ascii="宋体" w:hAnsi="宋体" w:eastAsia="宋体" w:cs="Times New Roman"/>
          <w:sz w:val="24"/>
          <w:szCs w:val="24"/>
        </w:rPr>
        <w:t xml:space="preserve">2</w:t>
      </w:r>
      <w:r>
        <w:rPr>
          <w:rFonts w:hint="eastAsia" w:ascii="宋体" w:hAnsi="宋体" w:eastAsia="宋体" w:cs="Times New Roman"/>
          <w:sz w:val="24"/>
          <w:szCs w:val="24"/>
        </w:rPr>
        <w:t xml:space="preserve">4</w:t>
      </w:r>
      <w:r>
        <w:rPr>
          <w:rFonts w:ascii="宋体" w:hAnsi="宋体" w:eastAsia="宋体" w:cs="Times New Roman"/>
          <w:sz w:val="24"/>
          <w:szCs w:val="24"/>
        </w:rPr>
        <w:t xml:space="preserve">.5 </w:t>
      </w:r>
      <w:r>
        <w:rPr>
          <w:rFonts w:ascii="宋体" w:hAnsi="宋体" w:eastAsia="宋体" w:cs="Times New Roman"/>
          <w:bCs/>
          <w:sz w:val="24"/>
          <w:szCs w:val="24"/>
        </w:rPr>
        <w:t xml:space="preserve">供应商</w:t>
      </w:r>
      <w:r>
        <w:rPr>
          <w:rFonts w:ascii="宋体" w:hAnsi="宋体" w:eastAsia="宋体" w:cs="Times New Roman"/>
          <w:sz w:val="24"/>
          <w:szCs w:val="24"/>
        </w:rPr>
        <w:t xml:space="preserve">在响应文件开启及项目评审全过程中应保持通讯畅通，</w:t>
      </w:r>
      <w:r>
        <w:rPr>
          <w:rFonts w:ascii="宋体" w:hAnsi="宋体" w:eastAsia="宋体" w:cs="Times New Roman"/>
          <w:bCs/>
          <w:sz w:val="24"/>
          <w:szCs w:val="24"/>
        </w:rPr>
        <w:t xml:space="preserve">及时登录“苏采云”系统查阅、答复相关信息，</w:t>
      </w:r>
      <w:r>
        <w:rPr>
          <w:rFonts w:ascii="宋体" w:hAnsi="宋体" w:eastAsia="宋体" w:cs="Times New Roman"/>
          <w:sz w:val="24"/>
          <w:szCs w:val="24"/>
        </w:rPr>
        <w:t xml:space="preserve">并安排专人与采购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及评审小组联系。</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bookmarkEnd w:id="161"/>
      <w:r/>
      <w:bookmarkEnd w:id="162"/>
      <w:r/>
      <w:bookmarkEnd w:id="163"/>
      <w:r>
        <w:rPr>
          <w:rFonts w:ascii="宋体" w:hAnsi="宋体" w:eastAsia="宋体" w:cs="Times New Roman"/>
          <w:sz w:val="24"/>
          <w:szCs w:val="24"/>
        </w:rPr>
        <w:t xml:space="preserve">无效响应条款和采购活动终止条款</w:t>
      </w:r>
      <w:r/>
    </w:p>
    <w:p>
      <w:pPr>
        <w:ind w:firstLine="480"/>
        <w:spacing w:line="500" w:lineRule="atLeast"/>
        <w:rPr>
          <w:rFonts w:ascii="宋体" w:hAnsi="宋体" w:eastAsia="宋体" w:cs="Times New Roman"/>
          <w:bCs/>
          <w:sz w:val="24"/>
          <w:szCs w:val="24"/>
        </w:rPr>
      </w:pPr>
      <w:r/>
      <w:bookmarkStart w:id="164" w:name="_Toc16938551"/>
      <w:r/>
      <w:bookmarkStart w:id="165" w:name="_Toc20823307"/>
      <w:r/>
      <w:bookmarkStart w:id="166" w:name="_Toc513029235"/>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.1无效响应条款</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.1.1供应商在</w:t>
      </w:r>
      <w:r>
        <w:rPr>
          <w:rFonts w:ascii="宋体" w:hAnsi="宋体" w:eastAsia="宋体" w:cs="Times New Roman"/>
          <w:sz w:val="24"/>
          <w:szCs w:val="24"/>
        </w:rPr>
        <w:t xml:space="preserve">“苏采云”系统</w:t>
      </w:r>
      <w:r>
        <w:rPr>
          <w:rFonts w:ascii="宋体" w:hAnsi="宋体" w:eastAsia="宋体" w:cs="Times New Roman"/>
          <w:bCs/>
          <w:sz w:val="24"/>
          <w:szCs w:val="24"/>
        </w:rPr>
        <w:t xml:space="preserve">规定的时间内未成功解密电子响应文件的。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.1.2 供应商未按照征集文件要求上传电子响应文件的。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.1.3供应商同一分包提交两个（含两个）以上不同的报价的。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供应商不具备征集文件中规定资格要求的。</w:t>
      </w:r>
      <w:r/>
    </w:p>
    <w:p>
      <w:pPr>
        <w:ind w:firstLine="480"/>
        <w:spacing w:line="500" w:lineRule="atLeast"/>
        <w:rPr>
          <w:rFonts w:ascii="宋体" w:hAnsi="宋体" w:eastAsia="宋体" w:cs="Times New Roman"/>
          <w:bCs/>
          <w:i/>
          <w:sz w:val="24"/>
          <w:szCs w:val="24"/>
          <w:u w:val="single"/>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供应商未通过符合性审查的。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不符合征集文件中规定的实质性要求和条件的。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7</w:t>
      </w:r>
      <w:r>
        <w:rPr>
          <w:rFonts w:ascii="宋体" w:hAnsi="宋体" w:eastAsia="宋体" w:cs="Times New Roman"/>
          <w:bCs/>
          <w:sz w:val="24"/>
          <w:szCs w:val="24"/>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8</w:t>
      </w:r>
      <w:r>
        <w:rPr>
          <w:rFonts w:ascii="宋体" w:hAnsi="宋体" w:eastAsia="宋体" w:cs="Times New Roman"/>
          <w:bCs/>
          <w:sz w:val="24"/>
          <w:szCs w:val="24"/>
        </w:rPr>
        <w:t xml:space="preserve">响应文件含有采购人不能接受的附加条件的。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9</w:t>
      </w:r>
      <w:r>
        <w:rPr>
          <w:rFonts w:hint="eastAsia" w:ascii="宋体" w:hAnsi="宋体" w:eastAsia="宋体" w:cs="Times New Roman"/>
          <w:b/>
          <w:bCs/>
          <w:sz w:val="24"/>
          <w:szCs w:val="24"/>
        </w:rPr>
        <w:t xml:space="preserve">评</w:t>
      </w:r>
      <w:r>
        <w:rPr>
          <w:rFonts w:ascii="宋体" w:hAnsi="宋体" w:eastAsia="宋体" w:cs="Times New Roman"/>
          <w:b/>
          <w:bCs/>
          <w:sz w:val="24"/>
          <w:szCs w:val="24"/>
        </w:rPr>
        <w:t xml:space="preserve">审小组认为供应商的报价明显低于其他通过符合性审查供应商的报价，有可能影响产品质量或者不能诚信履约的，将通过</w:t>
      </w:r>
      <w:r>
        <w:rPr>
          <w:rFonts w:ascii="宋体" w:hAnsi="宋体" w:eastAsia="宋体" w:cs="Times New Roman"/>
          <w:b/>
          <w:sz w:val="24"/>
          <w:szCs w:val="24"/>
        </w:rPr>
        <w:t xml:space="preserve">苏采云系统</w:t>
      </w:r>
      <w:r>
        <w:rPr>
          <w:rFonts w:ascii="宋体" w:hAnsi="宋体" w:eastAsia="宋体" w:cs="Times New Roman"/>
          <w:b/>
          <w:bCs/>
          <w:sz w:val="24"/>
          <w:szCs w:val="24"/>
        </w:rPr>
        <w:t xml:space="preserve">要求其在合理的时间内提供说明，必要时提交相关证明材料；供应商不能证明其报价合理性的，评审小组应当将其作为无效响应处理。</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.1.1</w:t>
      </w:r>
      <w:r>
        <w:rPr>
          <w:rFonts w:hint="eastAsia" w:ascii="宋体" w:hAnsi="宋体" w:eastAsia="宋体" w:cs="Times New Roman"/>
          <w:bCs/>
          <w:sz w:val="24"/>
          <w:szCs w:val="24"/>
        </w:rPr>
        <w:t xml:space="preserve">0</w:t>
      </w:r>
      <w:r>
        <w:rPr>
          <w:rFonts w:ascii="宋体" w:hAnsi="宋体" w:eastAsia="宋体" w:cs="Times New Roman"/>
          <w:bCs/>
          <w:sz w:val="24"/>
          <w:szCs w:val="24"/>
        </w:rPr>
        <w:t xml:space="preserve">响应文件未按照征集文件要求加盖电子签章。</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.1.1</w:t>
      </w:r>
      <w:r>
        <w:rPr>
          <w:rFonts w:hint="eastAsia" w:ascii="宋体" w:hAnsi="宋体" w:eastAsia="宋体" w:cs="Times New Roman"/>
          <w:bCs/>
          <w:sz w:val="24"/>
          <w:szCs w:val="24"/>
        </w:rPr>
        <w:t xml:space="preserve">1</w:t>
      </w:r>
      <w:r>
        <w:rPr>
          <w:rFonts w:ascii="宋体" w:hAnsi="宋体" w:eastAsia="宋体" w:cs="Times New Roman"/>
          <w:bCs/>
          <w:sz w:val="24"/>
          <w:szCs w:val="24"/>
        </w:rPr>
        <w:t xml:space="preserve">其他</w:t>
      </w:r>
      <w:r>
        <w:rPr>
          <w:rFonts w:hint="eastAsia" w:ascii="宋体" w:hAnsi="宋体" w:eastAsia="宋体" w:cs="Times New Roman"/>
          <w:bCs/>
          <w:sz w:val="24"/>
          <w:szCs w:val="24"/>
        </w:rPr>
        <w:t xml:space="preserve">法律法规</w:t>
      </w:r>
      <w:r>
        <w:rPr>
          <w:rFonts w:ascii="宋体" w:hAnsi="宋体" w:eastAsia="宋体" w:cs="Times New Roman"/>
          <w:bCs/>
          <w:sz w:val="24"/>
          <w:szCs w:val="24"/>
        </w:rPr>
        <w:t xml:space="preserve">及本征集文件规定的属无效响应的情形。</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.2采购活动终止条款</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.2.1出现影响采购公正的违法、违规行为。</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.2.2因重大变故，采购任务取消的。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.2.3评审小组认定征集文件存在歧义、重大缺陷导致评审工作无法进行。</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.2.4 因</w:t>
      </w:r>
      <w:r>
        <w:rPr>
          <w:rFonts w:ascii="宋体" w:hAnsi="宋体" w:eastAsia="宋体" w:cs="Times New Roman"/>
          <w:sz w:val="24"/>
          <w:szCs w:val="24"/>
        </w:rPr>
        <w:t xml:space="preserve">苏采云系统</w:t>
      </w:r>
      <w:r>
        <w:rPr>
          <w:rFonts w:ascii="宋体" w:hAnsi="宋体" w:eastAsia="宋体" w:cs="Times New Roman"/>
          <w:bCs/>
          <w:sz w:val="24"/>
          <w:szCs w:val="24"/>
        </w:rPr>
        <w:t xml:space="preserve">故障原因造成响应文件开启不成功的。</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.2.5 提交响应文件和通过资格审查、符合性审查的供应商数量少于2家。</w:t>
      </w:r>
      <w:r/>
    </w:p>
    <w:p>
      <w:pPr>
        <w:ind w:firstLine="482"/>
        <w:spacing w:line="500" w:lineRule="atLeast"/>
        <w:rPr>
          <w:rFonts w:ascii="宋体" w:hAnsi="宋体" w:eastAsia="宋体" w:cs="Times New Roman"/>
          <w:b/>
          <w:bCs/>
          <w:sz w:val="24"/>
          <w:szCs w:val="24"/>
        </w:rPr>
      </w:pPr>
      <w:r/>
      <w:bookmarkStart w:id="167" w:name="_Toc120614219"/>
      <w:r>
        <w:rPr>
          <w:rFonts w:ascii="宋体" w:hAnsi="宋体" w:eastAsia="宋体" w:cs="Times New Roman"/>
          <w:b/>
          <w:bCs/>
          <w:sz w:val="24"/>
          <w:szCs w:val="24"/>
        </w:rPr>
        <w:t xml:space="preserve">六、</w:t>
      </w:r>
      <w:bookmarkEnd w:id="164"/>
      <w:r/>
      <w:bookmarkEnd w:id="165"/>
      <w:r/>
      <w:bookmarkEnd w:id="166"/>
      <w:r/>
      <w:bookmarkEnd w:id="167"/>
      <w:r>
        <w:rPr>
          <w:rFonts w:ascii="宋体" w:hAnsi="宋体" w:eastAsia="宋体" w:cs="Times New Roman"/>
          <w:b/>
          <w:bCs/>
          <w:sz w:val="24"/>
          <w:szCs w:val="24"/>
        </w:rPr>
        <w:t xml:space="preserve">入围</w:t>
      </w:r>
      <w:r/>
    </w:p>
    <w:p>
      <w:pPr>
        <w:ind w:firstLine="480"/>
        <w:spacing w:line="500" w:lineRule="atLeast"/>
        <w:rPr>
          <w:rFonts w:ascii="宋体" w:hAnsi="宋体" w:eastAsia="宋体" w:cs="Times New Roman"/>
          <w:bCs/>
          <w:sz w:val="24"/>
          <w:szCs w:val="24"/>
        </w:rPr>
      </w:pPr>
      <w:r/>
      <w:bookmarkStart w:id="168" w:name="_Toc513029238"/>
      <w:r/>
      <w:bookmarkStart w:id="169" w:name="_Toc16938554"/>
      <w:r/>
      <w:bookmarkStart w:id="170" w:name="_Toc20823310"/>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w:t>
      </w:r>
      <w:bookmarkEnd w:id="168"/>
      <w:r>
        <w:rPr>
          <w:rFonts w:ascii="宋体" w:hAnsi="宋体" w:eastAsia="宋体" w:cs="Times New Roman"/>
          <w:bCs/>
          <w:sz w:val="24"/>
          <w:szCs w:val="24"/>
        </w:rPr>
        <w:t xml:space="preserve">确定</w:t>
      </w:r>
      <w:bookmarkEnd w:id="169"/>
      <w:r/>
      <w:bookmarkEnd w:id="170"/>
      <w:r>
        <w:rPr>
          <w:rFonts w:ascii="宋体" w:hAnsi="宋体" w:eastAsia="宋体" w:cs="Times New Roman"/>
          <w:bCs/>
          <w:sz w:val="24"/>
          <w:szCs w:val="24"/>
        </w:rPr>
        <w:t xml:space="preserve">入围供应商</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.1入围供应商的选取原则和数量见征集文件第五章规定。 </w:t>
      </w:r>
      <w:r/>
    </w:p>
    <w:p>
      <w:pPr>
        <w:ind w:firstLine="480"/>
        <w:spacing w:line="500" w:lineRule="atLeast"/>
        <w:rPr>
          <w:rFonts w:ascii="宋体" w:hAnsi="宋体" w:eastAsia="宋体" w:cs="Times New Roman"/>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.2</w:t>
      </w:r>
      <w:r>
        <w:rPr>
          <w:rFonts w:ascii="宋体" w:hAnsi="宋体" w:eastAsia="宋体" w:cs="Times New Roman"/>
          <w:sz w:val="24"/>
          <w:szCs w:val="24"/>
        </w:rPr>
        <w:t xml:space="preserve">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将在“中国政府采购网</w:t>
      </w:r>
      <w:r>
        <w:rPr>
          <w:rFonts w:hint="eastAsia" w:ascii="宋体" w:hAnsi="宋体" w:eastAsia="宋体" w:cs="Times New Roman"/>
          <w:sz w:val="24"/>
          <w:szCs w:val="24"/>
        </w:rPr>
        <w:t xml:space="preserve">”、“</w:t>
      </w:r>
      <w:r>
        <w:rPr>
          <w:rFonts w:ascii="宋体" w:hAnsi="宋体" w:eastAsia="宋体" w:cs="Times New Roman"/>
          <w:sz w:val="24"/>
          <w:szCs w:val="24"/>
        </w:rPr>
        <w:t xml:space="preserve">江苏政府采购网</w:t>
      </w:r>
      <w:r>
        <w:rPr>
          <w:rFonts w:hint="eastAsia" w:ascii="宋体" w:hAnsi="宋体" w:eastAsia="宋体" w:cs="Times New Roman"/>
          <w:sz w:val="24"/>
          <w:szCs w:val="24"/>
        </w:rPr>
        <w:t xml:space="preserve">”、“盐城市政府采购网”</w:t>
      </w:r>
      <w:r>
        <w:rPr>
          <w:rFonts w:ascii="宋体" w:hAnsi="宋体" w:eastAsia="宋体" w:cs="Times New Roman"/>
          <w:sz w:val="24"/>
          <w:szCs w:val="24"/>
        </w:rPr>
        <w:t xml:space="preserve">发布“入围结果公告”，公告期限为1个工作日。</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 入围供应商有下列情形之一，尚未签订框架协议的，取消其入围资格；已经签订框架协议的，解除与其签订的框架协议：</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.3.1恶意串通谋取入围或者合同成交的。</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.3.2提供虚假材料谋取入围或者合同成交的。 </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.3.3无正当理由拒不接受合同授予的。</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.3.4不履行合同义务或者履行合同义务不符合约定，经采购人请求履行后仍不履行或者仍未按约定履行的。</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.3.5框架协议有效期内，因违法行为被禁止或限制参加政府采购活动的。</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6</w:t>
      </w:r>
      <w:r>
        <w:rPr>
          <w:rFonts w:ascii="宋体" w:hAnsi="宋体" w:eastAsia="宋体" w:cs="Times New Roman"/>
          <w:sz w:val="24"/>
          <w:szCs w:val="24"/>
        </w:rPr>
        <w:t xml:space="preserve">.3.6 框架协议约定的其他情形。</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被取消入围资格或者被解除框架协议的供应商不得参加同一封闭式框架协议补充征集。</w:t>
      </w:r>
      <w:r/>
    </w:p>
    <w:p>
      <w:pPr>
        <w:ind w:firstLine="480"/>
        <w:spacing w:line="500" w:lineRule="atLeast"/>
        <w:rPr>
          <w:rFonts w:ascii="宋体" w:hAnsi="宋体" w:eastAsia="宋体" w:cs="Times New Roman"/>
          <w:bCs/>
          <w:sz w:val="24"/>
          <w:szCs w:val="24"/>
        </w:rPr>
      </w:pPr>
      <w:r/>
      <w:bookmarkStart w:id="171" w:name="_Toc200451960"/>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7</w:t>
      </w:r>
      <w:r>
        <w:rPr>
          <w:rFonts w:ascii="宋体" w:hAnsi="宋体" w:eastAsia="宋体" w:cs="Times New Roman"/>
          <w:bCs/>
          <w:sz w:val="24"/>
          <w:szCs w:val="24"/>
        </w:rPr>
        <w:t xml:space="preserve">、质疑处理</w:t>
      </w:r>
      <w:bookmarkEnd w:id="171"/>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7</w:t>
      </w:r>
      <w:r>
        <w:rPr>
          <w:rFonts w:ascii="宋体" w:hAnsi="宋体" w:eastAsia="宋体" w:cs="Times New Roman"/>
          <w:sz w:val="24"/>
          <w:szCs w:val="24"/>
        </w:rPr>
        <w:t xml:space="preserve">.1 提出质疑的供应商应当是参与所质疑封闭式框架协议采购项目采购活动的供应商。潜在供应商依法获取其可质疑的征集文件的，可以对征集文件提出质疑。</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7</w:t>
      </w:r>
      <w:r>
        <w:rPr>
          <w:rFonts w:ascii="宋体" w:hAnsi="宋体" w:eastAsia="宋体" w:cs="Times New Roman"/>
          <w:sz w:val="24"/>
          <w:szCs w:val="24"/>
        </w:rPr>
        <w:t xml:space="preserve">.2供应商认为征集文件、采购过程、入围结果使自己的权益受到损害的，可以在知道或应知其权益受到损害之日起七个工作日内，以书面形式向采购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提出质疑。上述应知其权益受到损害之日，是指：</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7</w:t>
      </w:r>
      <w:r>
        <w:rPr>
          <w:rFonts w:ascii="宋体" w:hAnsi="宋体" w:eastAsia="宋体" w:cs="Times New Roman"/>
          <w:sz w:val="24"/>
          <w:szCs w:val="24"/>
        </w:rPr>
        <w:t xml:space="preserve">.2.1对可以质疑的征集文件提出质疑的，为收到征集文件之日或者征集公告期限届满之日；</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7</w:t>
      </w:r>
      <w:r>
        <w:rPr>
          <w:rFonts w:ascii="宋体" w:hAnsi="宋体" w:eastAsia="宋体" w:cs="Times New Roman"/>
          <w:sz w:val="24"/>
          <w:szCs w:val="24"/>
        </w:rPr>
        <w:t xml:space="preserve">.2.2对采购过程提出质疑的，为各采购程序环节结束之日；</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7</w:t>
      </w:r>
      <w:r>
        <w:rPr>
          <w:rFonts w:ascii="宋体" w:hAnsi="宋体" w:eastAsia="宋体" w:cs="Times New Roman"/>
          <w:sz w:val="24"/>
          <w:szCs w:val="24"/>
        </w:rPr>
        <w:t xml:space="preserve">.2.3对入围结果提出质疑的，为入围结果公告期限届满之日。</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只对供应商最后一次质疑作出答复。</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27.3质疑必须按照《中华人民共和国政府采购法》《中华人民共和国政府采购法实施条例》及《江苏省政府采购供应商监督管理暂行办法》的相关规定提交，未按上述要求提交的质疑函（含传真、电子邮件等）征集人有权不予受理。</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27.4征集人只接收以纸质原件形式送达的质疑。</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征集人质疑接收部门为盐城市机关事务管理局，联系地址：江苏省盐城市盐都区世纪大道东路21号，联系电话：19962391798。</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27.5未参加投标活动的供应商或在投标活动中自身权益未受到损害的供应商所提出的质疑不予受理。</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27.6质疑函应当包括下列内容：</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27.6.1质疑投标人的名称、地址、邮编、联系人、联系电话；</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27.6.2具体的质疑事项及明确的请求；</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27.6.3认为自己合法权益受到损害或可能受到损害的相关证据材料；</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27.6.4提起质疑的日期；</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征集人将不予受理。质疑人委托代理质疑的，应当向征集人提交授权委托书，并载明委托代理的具体权限和事项。</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27.6.6征集人收到质疑函后，将对质疑的形式和内容进行审查，如质疑函内容、格式不符合规定，征集人将告知质疑人进行补正。</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27.6.7质疑人应当在法定质疑期限内进行补正并重新提交质疑函，拒不补正或者在法定期限内未重新提交质疑函的，为无效质疑，征集人将不予受理。</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27.6.8对于内容、格式符合规定的质疑函，征集人应当在收到投标供应商的书面质疑后七个工作日内作出答复，并以书面形式通知质疑供应商和其他有关供应商，但答复的内容不得涉及商业秘密。</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27.6.9投标人提出书面质疑必须有理、有据，不得恶意质疑或提交虚假质疑。否则，一经查实，征集人有权依据政府采购的有关规定，报请政府采购监管部门对该投标人进行相应的行政处罚，并扣减其诚信记录分。</w:t>
      </w:r>
      <w:r/>
    </w:p>
    <w:p>
      <w:pPr>
        <w:ind w:firstLine="480"/>
        <w:spacing w:line="500" w:lineRule="atLeas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8</w:t>
      </w:r>
      <w:r>
        <w:rPr>
          <w:rFonts w:ascii="宋体" w:hAnsi="宋体" w:eastAsia="宋体" w:cs="Times New Roman"/>
          <w:bCs/>
          <w:sz w:val="24"/>
          <w:szCs w:val="24"/>
        </w:rPr>
        <w:t xml:space="preserve">、入围通知书</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8</w:t>
      </w:r>
      <w:r>
        <w:rPr>
          <w:rFonts w:ascii="宋体" w:hAnsi="宋体" w:eastAsia="宋体" w:cs="Times New Roman"/>
          <w:sz w:val="24"/>
          <w:szCs w:val="24"/>
        </w:rPr>
        <w:t xml:space="preserve">.1入围结果确定后，采购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将向入围供应商发出入围通知书，请入围供应商使用CA数字证书登录</w:t>
      </w:r>
      <w:r>
        <w:rPr>
          <w:rFonts w:hint="eastAsia" w:ascii="宋体" w:hAnsi="宋体" w:eastAsia="宋体" w:cs="Times New Roman"/>
          <w:sz w:val="24"/>
          <w:szCs w:val="24"/>
        </w:rPr>
        <w:t xml:space="preserve">“</w:t>
      </w:r>
      <w:r>
        <w:rPr>
          <w:rFonts w:ascii="宋体" w:hAnsi="宋体" w:eastAsia="宋体" w:cs="Times New Roman"/>
          <w:sz w:val="24"/>
          <w:szCs w:val="24"/>
        </w:rPr>
        <w:t xml:space="preserve">苏</w:t>
      </w:r>
      <w:r>
        <w:rPr>
          <w:rFonts w:hint="eastAsia" w:ascii="宋体" w:hAnsi="宋体" w:eastAsia="宋体" w:cs="Times New Roman"/>
          <w:sz w:val="24"/>
          <w:szCs w:val="24"/>
        </w:rPr>
        <w:t xml:space="preserve">彩云</w:t>
      </w:r>
      <w:r>
        <w:rPr>
          <w:rFonts w:ascii="宋体" w:hAnsi="宋体" w:eastAsia="宋体" w:cs="Times New Roman"/>
          <w:sz w:val="24"/>
          <w:szCs w:val="24"/>
        </w:rPr>
        <w:t xml:space="preserve">”系统及时下载入围通知书。因系统存储空间有限，自入围结果公告发布之日起30日后，</w:t>
      </w:r>
      <w:r>
        <w:rPr>
          <w:rFonts w:hint="eastAsia" w:ascii="宋体" w:hAnsi="宋体" w:eastAsia="宋体" w:cs="Times New Roman"/>
          <w:sz w:val="24"/>
          <w:szCs w:val="24"/>
        </w:rPr>
        <w:t xml:space="preserve">“</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w:t>
      </w:r>
      <w:r>
        <w:rPr>
          <w:rFonts w:ascii="宋体" w:hAnsi="宋体" w:eastAsia="宋体" w:cs="Times New Roman"/>
          <w:sz w:val="24"/>
          <w:szCs w:val="24"/>
        </w:rPr>
        <w:t xml:space="preserve">系统不再保证提供下载入围通知书服务。入围供应商因未及时下载而造成的一切后果由其自负。</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8</w:t>
      </w:r>
      <w:r>
        <w:rPr>
          <w:rFonts w:ascii="宋体" w:hAnsi="宋体" w:eastAsia="宋体" w:cs="Times New Roman"/>
          <w:sz w:val="24"/>
          <w:szCs w:val="24"/>
        </w:rPr>
        <w:t xml:space="preserve">.2入围通知书将是框架协议的一个组成部分。对采购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和入围供应商均具有法律效力。入围通知书发出后，入围供应商无正当理由，不得主动放弃入围资格或者退出框架协议，否则应当依法承担法律责任。</w:t>
      </w:r>
      <w:r/>
    </w:p>
    <w:p>
      <w:pPr>
        <w:ind w:firstLine="482"/>
        <w:spacing w:line="500" w:lineRule="atLeast"/>
        <w:rPr>
          <w:rFonts w:ascii="宋体" w:hAnsi="宋体" w:eastAsia="宋体" w:cs="Times New Roman"/>
          <w:b/>
          <w:bCs/>
          <w:sz w:val="24"/>
          <w:szCs w:val="24"/>
        </w:rPr>
      </w:pPr>
      <w:r/>
      <w:bookmarkStart w:id="172" w:name="_Toc120614220"/>
      <w:r/>
      <w:bookmarkStart w:id="173" w:name="_Toc513029236"/>
      <w:r/>
      <w:bookmarkStart w:id="174" w:name="_Toc20823308"/>
      <w:r/>
      <w:bookmarkStart w:id="175" w:name="_Toc16938552"/>
      <w:r>
        <w:rPr>
          <w:rFonts w:ascii="宋体" w:hAnsi="宋体" w:eastAsia="宋体" w:cs="Times New Roman"/>
          <w:b/>
          <w:bCs/>
          <w:sz w:val="24"/>
          <w:szCs w:val="24"/>
        </w:rPr>
        <w:t xml:space="preserve">七、</w:t>
      </w:r>
      <w:bookmarkEnd w:id="172"/>
      <w:r>
        <w:rPr>
          <w:rFonts w:ascii="宋体" w:hAnsi="宋体" w:eastAsia="宋体" w:cs="Times New Roman"/>
          <w:b/>
          <w:bCs/>
          <w:sz w:val="24"/>
          <w:szCs w:val="24"/>
        </w:rPr>
        <w:t xml:space="preserve">签订框架协议</w:t>
      </w:r>
      <w:bookmarkEnd w:id="173"/>
      <w:r/>
      <w:bookmarkEnd w:id="174"/>
      <w:r/>
      <w:bookmarkEnd w:id="175"/>
      <w:r/>
      <w:r/>
    </w:p>
    <w:p>
      <w:pPr>
        <w:ind w:firstLine="480"/>
        <w:spacing w:line="500" w:lineRule="atLeast"/>
        <w:rPr>
          <w:rFonts w:ascii="宋体" w:hAnsi="宋体" w:eastAsia="宋体" w:cs="Times New Roman"/>
          <w:bCs/>
          <w:sz w:val="24"/>
          <w:szCs w:val="24"/>
        </w:rPr>
      </w:pPr>
      <w:r/>
      <w:bookmarkStart w:id="176" w:name="_Toc20823309"/>
      <w:r/>
      <w:bookmarkStart w:id="177" w:name="_Toc513029237"/>
      <w:r/>
      <w:bookmarkStart w:id="178" w:name="_Toc16938553"/>
      <w:r>
        <w:rPr>
          <w:rFonts w:hint="eastAsia" w:ascii="宋体" w:hAnsi="宋体" w:eastAsia="宋体" w:cs="Times New Roman"/>
          <w:bCs/>
          <w:sz w:val="24"/>
          <w:szCs w:val="24"/>
        </w:rPr>
        <w:t xml:space="preserve">29</w:t>
      </w:r>
      <w:r>
        <w:rPr>
          <w:rFonts w:ascii="宋体" w:hAnsi="宋体" w:eastAsia="宋体" w:cs="Times New Roman"/>
          <w:bCs/>
          <w:sz w:val="24"/>
          <w:szCs w:val="24"/>
        </w:rPr>
        <w:t xml:space="preserve">、签订框架协议</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29</w:t>
      </w:r>
      <w:r>
        <w:rPr>
          <w:rFonts w:ascii="宋体" w:hAnsi="宋体" w:eastAsia="宋体" w:cs="Times New Roman"/>
          <w:sz w:val="24"/>
          <w:szCs w:val="24"/>
        </w:rPr>
        <w:t xml:space="preserve">.l 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在入围通知书发出之日起30日内和入围供应商签订电子框架协议，入围供应商在接到采购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通知后需及时使用CA数字证书登录</w:t>
      </w:r>
      <w:r>
        <w:rPr>
          <w:rFonts w:hint="eastAsia" w:ascii="宋体" w:hAnsi="宋体" w:eastAsia="宋体" w:cs="Times New Roman"/>
          <w:sz w:val="24"/>
          <w:szCs w:val="24"/>
        </w:rPr>
        <w:t xml:space="preserve">“</w:t>
      </w:r>
      <w:r>
        <w:rPr>
          <w:rFonts w:ascii="宋体" w:hAnsi="宋体" w:eastAsia="宋体" w:cs="Times New Roman"/>
          <w:sz w:val="24"/>
          <w:szCs w:val="24"/>
        </w:rPr>
        <w:t xml:space="preserve">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29</w:t>
      </w:r>
      <w:r>
        <w:rPr>
          <w:rFonts w:ascii="宋体" w:hAnsi="宋体" w:eastAsia="宋体" w:cs="Times New Roman"/>
          <w:sz w:val="24"/>
          <w:szCs w:val="24"/>
        </w:rPr>
        <w:t xml:space="preserve">.2征集文件、入围供应商的响应文件及评审过程中有关澄清、承诺文件均应作为框架协议的附件。</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29</w:t>
      </w:r>
      <w:r>
        <w:rPr>
          <w:rFonts w:ascii="宋体" w:hAnsi="宋体" w:eastAsia="宋体" w:cs="Times New Roman"/>
          <w:sz w:val="24"/>
          <w:szCs w:val="24"/>
        </w:rPr>
        <w:t xml:space="preserve">.3 签订框架协议后，</w:t>
      </w:r>
      <w:r>
        <w:rPr>
          <w:rFonts w:ascii="宋体" w:hAnsi="宋体" w:eastAsia="宋体" w:cs="Times New Roman"/>
          <w:i/>
          <w:sz w:val="24"/>
          <w:szCs w:val="24"/>
          <w:u w:val="single"/>
        </w:rPr>
        <w:t xml:space="preserve">入围供应商不得将产品及其他相关服务进行转包</w:t>
      </w:r>
      <w:r>
        <w:rPr>
          <w:rFonts w:ascii="宋体" w:hAnsi="宋体" w:eastAsia="宋体" w:cs="Times New Roman"/>
          <w:sz w:val="24"/>
          <w:szCs w:val="24"/>
        </w:rPr>
        <w:t xml:space="preserve">。未经采购人同意，入围供应商也不得采用分包的形式履行合同，否则采购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有权终止框架协议，且采购人有权终止采购合同。转包或分包造成采购人损失的，入围供应商应承担相应赔偿责任。</w:t>
      </w:r>
      <w:bookmarkEnd w:id="176"/>
      <w:r/>
      <w:bookmarkEnd w:id="177"/>
      <w:r/>
      <w:bookmarkEnd w:id="178"/>
      <w:r/>
      <w:r/>
    </w:p>
    <w:p>
      <w:pPr>
        <w:ind w:firstLine="482"/>
        <w:spacing w:line="500" w:lineRule="atLeast"/>
        <w:rPr>
          <w:rFonts w:ascii="宋体" w:hAnsi="宋体" w:eastAsia="宋体" w:cs="Times New Roman"/>
          <w:b/>
          <w:bCs/>
          <w:sz w:val="24"/>
          <w:szCs w:val="24"/>
        </w:rPr>
      </w:pPr>
      <w:r>
        <w:rPr>
          <w:rFonts w:hint="eastAsia" w:ascii="宋体" w:hAnsi="宋体" w:eastAsia="宋体" w:cs="Times New Roman"/>
          <w:b/>
          <w:bCs/>
          <w:sz w:val="24"/>
          <w:szCs w:val="24"/>
        </w:rPr>
        <w:t xml:space="preserve">八、入围供应商的清退和补充规则</w:t>
      </w:r>
      <w:r/>
    </w:p>
    <w:p>
      <w:pPr>
        <w:ind w:firstLine="480"/>
        <w:spacing w:line="500" w:lineRule="atLeast"/>
        <w:tabs>
          <w:tab w:val="left" w:pos="945" w:leader="none"/>
        </w:tabs>
        <w:rPr>
          <w:rFonts w:ascii="宋体" w:hAnsi="宋体" w:eastAsia="宋体" w:cs="Times New Roman"/>
          <w:bCs/>
          <w:sz w:val="24"/>
          <w:szCs w:val="24"/>
        </w:rPr>
      </w:pPr>
      <w:r>
        <w:rPr>
          <w:rFonts w:hint="eastAsia" w:ascii="宋体" w:hAnsi="宋体" w:eastAsia="宋体" w:cs="Times New Roman"/>
          <w:bCs/>
          <w:sz w:val="24"/>
          <w:szCs w:val="24"/>
        </w:rPr>
        <w:t xml:space="preserve">30.1 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80"/>
        <w:spacing w:line="500" w:lineRule="atLeast"/>
        <w:tabs>
          <w:tab w:val="left" w:pos="945" w:leader="none"/>
        </w:tabs>
        <w:rPr>
          <w:rFonts w:ascii="宋体" w:hAnsi="宋体" w:eastAsia="宋体" w:cs="Times New Roman"/>
          <w:sz w:val="24"/>
          <w:szCs w:val="24"/>
        </w:rPr>
      </w:pPr>
      <w:r>
        <w:rPr>
          <w:rFonts w:hint="eastAsia" w:ascii="宋体" w:hAnsi="宋体" w:eastAsia="宋体" w:cs="Times New Roman"/>
          <w:bCs/>
          <w:sz w:val="24"/>
          <w:szCs w:val="24"/>
        </w:rPr>
        <w:t xml:space="preserve">30.2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482"/>
        <w:spacing w:line="500" w:lineRule="atLeast"/>
        <w:rPr>
          <w:rFonts w:ascii="宋体" w:hAnsi="宋体" w:eastAsia="宋体" w:cs="Times New Roman"/>
          <w:b/>
          <w:bCs/>
          <w:sz w:val="24"/>
          <w:szCs w:val="24"/>
        </w:rPr>
      </w:pPr>
      <w:r>
        <w:rPr>
          <w:rFonts w:hint="eastAsia" w:ascii="宋体" w:hAnsi="宋体" w:eastAsia="宋体" w:cs="Times New Roman"/>
          <w:b/>
          <w:bCs/>
          <w:sz w:val="24"/>
          <w:szCs w:val="24"/>
        </w:rPr>
        <w:t xml:space="preserve">九</w:t>
      </w:r>
      <w:r>
        <w:rPr>
          <w:rFonts w:ascii="宋体" w:hAnsi="宋体" w:eastAsia="宋体" w:cs="Times New Roman"/>
          <w:b/>
          <w:bCs/>
          <w:sz w:val="24"/>
          <w:szCs w:val="24"/>
        </w:rPr>
        <w:t xml:space="preserve">、其他</w:t>
      </w:r>
      <w:r/>
    </w:p>
    <w:p>
      <w:pPr>
        <w:ind w:firstLine="482"/>
        <w:spacing w:line="500" w:lineRule="exact"/>
        <w:widowControl/>
        <w:rPr>
          <w:rFonts w:ascii="宋体" w:hAnsi="宋体" w:eastAsia="宋体" w:cs="宋体"/>
          <w:b/>
          <w:bCs/>
          <w:sz w:val="24"/>
          <w:szCs w:val="20"/>
          <w:lang w:val="zh-CN"/>
        </w:rPr>
      </w:pPr>
      <w:r>
        <w:rPr>
          <w:rFonts w:hint="eastAsia" w:ascii="宋体" w:hAnsi="宋体" w:eastAsia="宋体" w:cs="宋体"/>
          <w:b/>
          <w:bCs/>
          <w:sz w:val="24"/>
          <w:szCs w:val="20"/>
        </w:rPr>
        <w:t xml:space="preserve">3</w:t>
      </w:r>
      <w:r>
        <w:rPr>
          <w:rFonts w:ascii="宋体" w:hAnsi="宋体" w:eastAsia="宋体" w:cs="宋体"/>
          <w:b/>
          <w:bCs/>
          <w:sz w:val="24"/>
          <w:szCs w:val="20"/>
        </w:rPr>
        <w:t xml:space="preserve">1</w:t>
      </w:r>
      <w:r>
        <w:rPr>
          <w:rFonts w:hint="eastAsia" w:ascii="宋体" w:hAnsi="宋体" w:eastAsia="宋体" w:cs="宋体"/>
          <w:b/>
          <w:bCs/>
          <w:sz w:val="24"/>
          <w:szCs w:val="20"/>
          <w:lang w:val="zh-CN"/>
        </w:rPr>
        <w:t xml:space="preserve">.政府采购政策功能落实</w:t>
      </w:r>
      <w:r/>
    </w:p>
    <w:p>
      <w:pPr>
        <w:ind w:firstLine="480"/>
        <w:spacing w:line="500" w:lineRule="exact"/>
        <w:widowControl/>
        <w:rPr>
          <w:rFonts w:ascii="宋体" w:hAnsi="宋体" w:eastAsia="宋体" w:cs="宋体"/>
          <w:sz w:val="24"/>
          <w:szCs w:val="20"/>
          <w:lang w:val="zh-CN"/>
        </w:rPr>
      </w:pPr>
      <w:r>
        <w:rPr>
          <w:rFonts w:hint="eastAsia" w:ascii="宋体" w:hAnsi="宋体" w:eastAsia="宋体" w:cs="宋体"/>
          <w:sz w:val="24"/>
          <w:szCs w:val="20"/>
        </w:rPr>
        <w:t xml:space="preserve">3</w:t>
      </w:r>
      <w:r>
        <w:rPr>
          <w:rFonts w:ascii="宋体" w:hAnsi="宋体" w:eastAsia="宋体" w:cs="宋体"/>
          <w:sz w:val="24"/>
          <w:szCs w:val="20"/>
        </w:rPr>
        <w:t xml:space="preserve">1</w:t>
      </w:r>
      <w:r>
        <w:rPr>
          <w:rFonts w:hint="eastAsia" w:ascii="宋体" w:hAnsi="宋体" w:eastAsia="宋体" w:cs="宋体"/>
          <w:sz w:val="24"/>
          <w:szCs w:val="20"/>
          <w:lang w:val="zh-CN"/>
        </w:rPr>
        <w:t xml:space="preserve">.1政府采购线上合同信用融资政策</w:t>
      </w:r>
      <w:r/>
    </w:p>
    <w:p>
      <w:pPr>
        <w:ind w:firstLine="480"/>
        <w:spacing w:line="500" w:lineRule="exact"/>
        <w:widowControl/>
        <w:rPr>
          <w:rFonts w:ascii="宋体" w:hAnsi="宋体" w:eastAsia="宋体" w:cs="宋体"/>
          <w:sz w:val="24"/>
          <w:szCs w:val="20"/>
          <w:lang w:val="zh-CN"/>
        </w:rPr>
      </w:pPr>
      <w:r>
        <w:rPr>
          <w:rFonts w:hint="eastAsia" w:ascii="宋体" w:hAnsi="宋体" w:eastAsia="宋体" w:cs="宋体"/>
          <w:sz w:val="24"/>
          <w:szCs w:val="20"/>
          <w:lang w:val="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.2进口产品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.3中小企业、监狱企业及残疾人福利性单位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.3.1中小企业定义：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中小企业是</w:t>
      </w:r>
      <w:r>
        <w:rPr>
          <w:rFonts w:hint="eastAsia" w:ascii="宋体" w:hAnsi="宋体" w:eastAsia="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.3.2供应商提供的货物、工程或者服务符合下列情形的，享受中小企业扶持政策：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.3.2.1在货物采购项目中，货物由中小企业制造，即货物由中小企业生产且使用该中小企业商号或者注册商标；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.3.2.2在工程采购项目中，工程由中小企业承建，即工程施工单位为中小企业；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.3.2.3在服务采购项目中，服务由中小企业承接，即提供服务的人员为中小企业依照《中华人民共和国劳动合同法》订立劳动合同的从业人员。</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.3.3在货物采购项目中，供应商提供的货物既有中小企业制造货物，也有大型企业制造货物的，不享受中小企业扶持政策。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.3.4以联合体形式参加政府采购活动，联合体各方均为中小企业的，联合体视同中小企业。其中，联合体各方均为小微企业的，联合体视同小微企业。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.3.6残疾人福利单位定义：享受政府采购支持政策的残疾人福利性单位应当同时满足以下条件：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.3.6.1安置的残疾人占本单位在职职工人数的比例不低于25%（含25%），并且安置的残疾人人数不少于10 人（含10 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.3.6.2依法与安置的每位残疾人签订了一年以上（含一年）的劳动合同或服务协议；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.3.6.3为安置的每位残疾人按月足额缴纳了基本养老保险、基本医疗保险、失业保险、工伤保险和生育保险等社会保险费；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.3.6.4通过银行等金融机构向安置的每位残疾人，按月支付了不低于单位所在区县适用的经省级人民政府批准的月最低工资标准的工资；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.3.7本项目是否专门面向中小企业预留采购份额见第一章《招标公告》。</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.3.8采购标的对应的中小企业划分标准所属行业见第四章《采购需求》。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.3.9小微企业价格评审优惠的政策：见第五章《评标方法和评标标准》。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.4政府采购节能产品、环境标志产品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.4.1严格执行政府采购关于支持</w:t>
      </w:r>
      <w:r>
        <w:rPr>
          <w:rFonts w:hint="eastAsia" w:ascii="宋体" w:hAnsi="宋体" w:eastAsia="宋体" w:cs="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.5绿色包装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.6政府采购创新产品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.7绿色数据中心政策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本文件中若涉及到数据中心采购，采购人应依据《绿色数据中心政府采购需求标准（试行）》（财办库〔2023〕7号）文件精神</w:t>
      </w:r>
      <w:r>
        <w:rPr>
          <w:rFonts w:hint="eastAsia" w:ascii="宋体" w:hAnsi="宋体" w:eastAsia="宋体" w:cs="宋体"/>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31.</w:t>
      </w:r>
      <w:r>
        <w:rPr>
          <w:rFonts w:ascii="宋体" w:hAnsi="宋体" w:eastAsia="宋体" w:cs="Times New Roman"/>
          <w:sz w:val="24"/>
          <w:szCs w:val="24"/>
        </w:rPr>
        <w:t xml:space="preserve">8</w:t>
      </w:r>
      <w:r>
        <w:rPr>
          <w:rFonts w:hint="eastAsia" w:ascii="宋体" w:hAnsi="宋体" w:eastAsia="宋体" w:cs="Times New Roman"/>
          <w:sz w:val="24"/>
          <w:szCs w:val="24"/>
        </w:rPr>
        <w:t xml:space="preserve">确需收取履约保证金的，履约保证金的缴纳形式：</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 如以履约保函（保险）形式缴纳履约保证金，供应商可通过政府采购电子履约保函（保险）平台（www.jsdzbh.com）在线申请履约保函（保险）。</w:t>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级及以上的政府采购供应商（需在签订采购合同前提供信用管理部门备案的第三方信用报告，且信用报告通过“信用盐城网”可查实），免收其履约保证金。</w:t>
      </w:r>
      <w:r/>
    </w:p>
    <w:p>
      <w:pPr>
        <w:ind w:firstLine="482"/>
        <w:spacing w:line="500" w:lineRule="atLeast"/>
        <w:rPr>
          <w:rFonts w:ascii="宋体" w:hAnsi="宋体" w:eastAsia="宋体" w:cs="Times New Roman"/>
          <w:b/>
          <w:sz w:val="24"/>
          <w:szCs w:val="24"/>
        </w:rPr>
      </w:pPr>
      <w:r>
        <w:rPr>
          <w:rFonts w:hint="eastAsia" w:ascii="宋体" w:hAnsi="宋体" w:eastAsia="宋体" w:cs="Times New Roman"/>
          <w:b/>
          <w:sz w:val="24"/>
          <w:szCs w:val="24"/>
        </w:rPr>
        <w:t xml:space="preserve">本项目不收取履约保证金。</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31.</w:t>
      </w:r>
      <w:r>
        <w:rPr>
          <w:rFonts w:ascii="宋体" w:hAnsi="宋体" w:eastAsia="宋体" w:cs="Times New Roman"/>
          <w:sz w:val="24"/>
          <w:szCs w:val="24"/>
        </w:rPr>
        <w:t xml:space="preserve">9</w:t>
      </w:r>
      <w:r>
        <w:rPr>
          <w:rFonts w:ascii="宋体" w:hAnsi="宋体" w:eastAsia="宋体" w:cs="Times New Roman"/>
          <w:sz w:val="24"/>
          <w:szCs w:val="24"/>
        </w:rPr>
        <w:t xml:space="preserve"> 采购</w:t>
      </w:r>
      <w:r>
        <w:rPr>
          <w:rFonts w:hint="eastAsia" w:ascii="宋体" w:hAnsi="宋体" w:eastAsia="宋体" w:cs="Times New Roman"/>
          <w:sz w:val="24"/>
          <w:szCs w:val="24"/>
        </w:rPr>
        <w:t xml:space="preserve">人</w:t>
      </w:r>
      <w:r>
        <w:rPr>
          <w:rFonts w:ascii="宋体" w:hAnsi="宋体" w:eastAsia="宋体" w:cs="Times New Roman"/>
          <w:sz w:val="24"/>
          <w:szCs w:val="24"/>
        </w:rPr>
        <w:t xml:space="preserve">将建立用户反馈和评价机制，接受采购人对入围供应商履行框架协议和采购合同情况的反馈与评价，并将用户反馈和评价情况在</w:t>
      </w:r>
      <w:r>
        <w:rPr>
          <w:rFonts w:hint="eastAsia" w:ascii="宋体" w:hAnsi="宋体" w:eastAsia="宋体" w:cs="Times New Roman"/>
          <w:sz w:val="24"/>
          <w:szCs w:val="24"/>
        </w:rPr>
        <w:t xml:space="preserve">“</w:t>
      </w:r>
      <w:r>
        <w:rPr>
          <w:rFonts w:ascii="宋体" w:hAnsi="宋体" w:eastAsia="宋体" w:cs="Times New Roman"/>
          <w:sz w:val="24"/>
          <w:szCs w:val="24"/>
        </w:rPr>
        <w:t xml:space="preserve">苏采云”系统中向采购人公开，作为第二阶段直接选定成交供应商的参考。</w:t>
      </w:r>
      <w:r/>
    </w:p>
    <w:p>
      <w:pPr>
        <w:ind w:firstLine="480"/>
        <w:spacing w:line="500" w:lineRule="atLeast"/>
        <w:rPr>
          <w:rFonts w:ascii="宋体" w:hAnsi="宋体" w:eastAsia="宋体" w:cs="Times New Roman"/>
          <w:sz w:val="24"/>
          <w:szCs w:val="24"/>
        </w:rPr>
      </w:pPr>
      <w:r>
        <w:rPr>
          <w:rFonts w:ascii="宋体" w:hAnsi="宋体" w:eastAsia="宋体" w:cs="Times New Roman"/>
          <w:sz w:val="24"/>
          <w:szCs w:val="24"/>
        </w:rPr>
        <w:t xml:space="preserve">31.</w:t>
      </w:r>
      <w:r>
        <w:rPr>
          <w:rFonts w:ascii="宋体" w:hAnsi="宋体" w:eastAsia="宋体" w:cs="Times New Roman"/>
          <w:sz w:val="24"/>
          <w:szCs w:val="24"/>
        </w:rPr>
        <w:t xml:space="preserve">10</w:t>
      </w:r>
      <w:r>
        <w:rPr>
          <w:rFonts w:ascii="宋体" w:hAnsi="宋体" w:eastAsia="宋体" w:cs="Times New Roman"/>
          <w:sz w:val="24"/>
          <w:szCs w:val="24"/>
        </w:rPr>
        <w:t xml:space="preserve"> 入围供应商按照框架协议约定接受采购人合同授予，并履行采购合同。</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31.</w:t>
      </w:r>
      <w:r>
        <w:rPr>
          <w:rFonts w:ascii="宋体" w:hAnsi="宋体" w:eastAsia="宋体" w:cs="Times New Roman"/>
          <w:sz w:val="24"/>
          <w:szCs w:val="24"/>
        </w:rPr>
        <w:t xml:space="preserve">11</w:t>
      </w:r>
      <w:bookmarkStart w:id="179" w:name="_GoBack"/>
      <w:r/>
      <w:bookmarkEnd w:id="179"/>
      <w:r>
        <w:rPr>
          <w:rFonts w:ascii="宋体" w:hAnsi="宋体" w:eastAsia="宋体" w:cs="Times New Roman"/>
          <w:sz w:val="24"/>
          <w:szCs w:val="24"/>
        </w:rPr>
        <w:t xml:space="preserve">本项目依据和采购人签订的代理合同，代理服务费为</w:t>
      </w:r>
      <w:r>
        <w:rPr>
          <w:rFonts w:hint="eastAsia" w:ascii="宋体" w:hAnsi="宋体" w:eastAsia="宋体" w:cs="Times New Roman"/>
          <w:sz w:val="24"/>
          <w:szCs w:val="24"/>
        </w:rPr>
        <w:t xml:space="preserve">2</w:t>
      </w:r>
      <w:r>
        <w:rPr>
          <w:rFonts w:ascii="宋体" w:hAnsi="宋体" w:eastAsia="宋体" w:cs="Times New Roman"/>
          <w:sz w:val="24"/>
          <w:szCs w:val="24"/>
        </w:rPr>
        <w:t xml:space="preserve">4800元由入围供应商均摊，由成交供应商在领取中标（成交）通知书时一次性付清。</w:t>
      </w:r>
      <w:r/>
    </w:p>
    <w:p>
      <w:pPr>
        <w:pStyle w:val="753"/>
        <w:rPr>
          <w:rFonts w:hint="eastAsia"/>
        </w:rPr>
      </w:pPr>
      <w:r>
        <w:rPr>
          <w:rFonts w:hint="eastAsia"/>
        </w:rPr>
      </w:r>
      <w:r/>
    </w:p>
    <w:p>
      <w:pPr>
        <w:spacing w:line="500" w:lineRule="atLeast"/>
        <w:rPr>
          <w:rFonts w:ascii="宋体" w:hAnsi="宋体" w:eastAsia="宋体" w:cs="Times New Roman"/>
          <w:szCs w:val="24"/>
        </w:rPr>
      </w:pPr>
      <w:r>
        <w:rPr>
          <w:rFonts w:hint="eastAsia" w:ascii="Calibri" w:hAnsi="Calibri" w:eastAsia="宋体" w:cs="Times New Roman"/>
          <w:szCs w:val="24"/>
        </w:rPr>
        <w:t xml:space="preserve"> </w:t>
      </w:r>
      <w:r/>
    </w:p>
    <w:p>
      <w:pPr>
        <w:rPr>
          <w:rFonts w:ascii="宋体" w:hAnsi="宋体" w:eastAsia="宋体" w:cs="Times New Roman"/>
          <w:szCs w:val="24"/>
        </w:rPr>
      </w:pPr>
      <w:r>
        <w:rPr>
          <w:rFonts w:ascii="宋体" w:hAnsi="宋体" w:eastAsia="宋体" w:cs="Times New Roman"/>
          <w:szCs w:val="24"/>
        </w:rPr>
      </w:r>
      <w:r/>
    </w:p>
    <w:p>
      <w:pPr>
        <w:jc w:val="left"/>
        <w:widowControl/>
        <w:rPr>
          <w:rFonts w:ascii="宋体" w:hAnsi="宋体" w:eastAsia="宋体" w:cs="Times New Roman"/>
          <w:sz w:val="24"/>
          <w:szCs w:val="24"/>
        </w:rPr>
      </w:pPr>
      <w:r>
        <w:rPr>
          <w:rFonts w:ascii="宋体" w:hAnsi="宋体" w:eastAsia="宋体" w:cs="Times New Roman"/>
          <w:sz w:val="24"/>
          <w:szCs w:val="24"/>
        </w:rPr>
        <w:br w:type="page" w:clear="all"/>
      </w:r>
      <w:r/>
    </w:p>
    <w:p>
      <w:pPr>
        <w:rPr>
          <w:rFonts w:ascii="宋体" w:hAnsi="宋体" w:eastAsia="宋体" w:cs="Times New Roman"/>
          <w:sz w:val="24"/>
          <w:szCs w:val="24"/>
        </w:rPr>
      </w:pPr>
      <w:r>
        <w:rPr>
          <w:rFonts w:ascii="宋体" w:hAnsi="宋体" w:eastAsia="宋体" w:cs="Times New Roman"/>
          <w:sz w:val="24"/>
          <w:szCs w:val="24"/>
        </w:rPr>
      </w:r>
      <w:r/>
    </w:p>
    <w:p>
      <w:pPr>
        <w:ind w:firstLine="2800"/>
        <w:rPr>
          <w:rFonts w:ascii="宋体" w:hAnsi="宋体" w:eastAsia="宋体" w:cs="Times New Roman"/>
          <w:bCs/>
          <w:sz w:val="44"/>
          <w:szCs w:val="28"/>
        </w:rPr>
        <w:outlineLvl w:val="0"/>
      </w:pPr>
      <w:r/>
      <w:bookmarkStart w:id="180" w:name="_Toc128039580"/>
      <w:r>
        <w:rPr>
          <w:rFonts w:hint="eastAsia" w:ascii="方正小标宋_GBK" w:hAnsi="方正小标宋_GBK" w:eastAsia="方正小标宋_GBK" w:cs="方正小标宋_GBK"/>
          <w:color w:val="000000"/>
          <w:sz w:val="40"/>
          <w:szCs w:val="40"/>
        </w:rPr>
        <w:t xml:space="preserve">第三章  框架协议文本</w:t>
      </w:r>
      <w:bookmarkEnd w:id="180"/>
      <w:r/>
      <w:r/>
    </w:p>
    <w:p>
      <w:pPr>
        <w:ind w:firstLine="480"/>
        <w:spacing w:line="500" w:lineRule="atLeast"/>
        <w:rPr>
          <w:rFonts w:ascii="宋体" w:hAnsi="宋体" w:eastAsia="宋体" w:cs="宋体"/>
          <w:sz w:val="24"/>
          <w:szCs w:val="24"/>
        </w:rPr>
      </w:pPr>
      <w:r/>
      <w:bookmarkStart w:id="181" w:name="_Toc513029243"/>
      <w:r/>
      <w:bookmarkStart w:id="182" w:name="_Toc16938559"/>
      <w:r/>
      <w:bookmarkStart w:id="183" w:name="_Toc20823315"/>
      <w:r/>
      <w:bookmarkStart w:id="184" w:name="_Toc128039582"/>
      <w:r>
        <w:rPr>
          <w:rFonts w:hint="eastAsia" w:ascii="宋体" w:hAnsi="宋体" w:eastAsia="宋体" w:cs="宋体"/>
          <w:sz w:val="24"/>
          <w:szCs w:val="24"/>
        </w:rPr>
        <w:t xml:space="preserve">项目名称：2026-2027年度盐城市本级公务用车出租客运服务框架协议采购项目</w:t>
      </w:r>
      <w:r/>
    </w:p>
    <w:p>
      <w:pPr>
        <w:ind w:firstLine="480"/>
        <w:spacing w:line="500" w:lineRule="atLeast"/>
        <w:rPr>
          <w:rFonts w:ascii="宋体" w:hAnsi="宋体" w:eastAsia="宋体" w:cs="宋体"/>
          <w:b/>
          <w:bCs/>
          <w:sz w:val="32"/>
          <w:szCs w:val="24"/>
        </w:rPr>
      </w:pPr>
      <w:r>
        <w:rPr>
          <w:rFonts w:hint="eastAsia" w:ascii="宋体" w:hAnsi="宋体" w:eastAsia="宋体" w:cs="宋体"/>
          <w:sz w:val="24"/>
          <w:szCs w:val="24"/>
        </w:rPr>
        <w:t xml:space="preserve">项目编号：JSZC-320900-JSGX-K2025-0046</w:t>
      </w:r>
      <w:r/>
    </w:p>
    <w:p>
      <w:pPr>
        <w:ind w:firstLine="480"/>
        <w:spacing w:line="500" w:lineRule="atLeast"/>
        <w:rPr>
          <w:rFonts w:ascii="宋体" w:hAnsi="宋体" w:eastAsia="宋体" w:cs="宋体"/>
          <w:sz w:val="24"/>
          <w:szCs w:val="24"/>
          <w:u w:val="single"/>
        </w:rP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盐城市机关事务管理局</w:t>
      </w:r>
      <w:r/>
    </w:p>
    <w:p>
      <w:pPr>
        <w:ind w:firstLine="480"/>
        <w:spacing w:line="500" w:lineRule="atLeast"/>
        <w:rPr>
          <w:rFonts w:ascii="宋体" w:hAnsi="宋体" w:eastAsia="宋体" w:cs="宋体"/>
          <w:sz w:val="24"/>
          <w:szCs w:val="20"/>
        </w:rPr>
      </w:pPr>
      <w:r>
        <w:rPr>
          <w:rFonts w:hint="eastAsia" w:ascii="宋体" w:hAnsi="宋体" w:eastAsia="宋体" w:cs="宋体"/>
          <w:sz w:val="24"/>
          <w:szCs w:val="24"/>
        </w:rPr>
        <w:t xml:space="preserve">乙方（入围供应商）：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2026-2027年度盐城市本级公务用车出租客运服务框架协议采购项目</w:t>
      </w:r>
      <w:r>
        <w:rPr>
          <w:rFonts w:hint="eastAsia" w:ascii="宋体" w:hAnsi="宋体" w:eastAsia="宋体" w:cs="宋体"/>
          <w:sz w:val="24"/>
          <w:szCs w:val="24"/>
        </w:rPr>
        <w:t xml:space="preserve">成交入围结果，甲、乙双方达成以下乘用车出租客运服务</w:t>
      </w:r>
      <w:r>
        <w:rPr>
          <w:rFonts w:hint="eastAsia" w:ascii="宋体" w:hAnsi="宋体" w:eastAsia="宋体" w:cs="Times New Roman"/>
          <w:sz w:val="24"/>
          <w:szCs w:val="24"/>
        </w:rPr>
        <w:t xml:space="preserve">框架协议</w:t>
      </w:r>
      <w:r>
        <w:rPr>
          <w:rFonts w:hint="eastAsia" w:ascii="宋体" w:hAnsi="宋体" w:eastAsia="宋体" w:cs="宋体"/>
          <w:sz w:val="24"/>
          <w:szCs w:val="24"/>
        </w:rPr>
        <w:t xml:space="preserve">：</w:t>
      </w:r>
      <w:r/>
    </w:p>
    <w:p>
      <w:pPr>
        <w:numPr>
          <w:ilvl w:val="0"/>
          <w:numId w:val="2"/>
        </w:numPr>
        <w:ind w:firstLine="480"/>
        <w:jc w:val="left"/>
        <w:spacing w:line="500" w:lineRule="atLeast"/>
        <w:widowControl/>
        <w:rPr>
          <w:rFonts w:ascii="宋体" w:hAnsi="宋体" w:eastAsia="宋体" w:cs="宋体"/>
          <w:b/>
          <w:bCs/>
          <w:sz w:val="24"/>
          <w:szCs w:val="24"/>
        </w:rPr>
      </w:pPr>
      <w:r>
        <w:rPr>
          <w:rFonts w:hint="eastAsia" w:ascii="宋体" w:hAnsi="宋体" w:eastAsia="宋体" w:cs="宋体"/>
          <w:b/>
          <w:bCs/>
          <w:sz w:val="24"/>
          <w:szCs w:val="24"/>
        </w:rPr>
        <w:t xml:space="preserve">服务范围</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采购人（以下称“用车人”）是盐城市市本级党政机关、事业单位及团体组织，使用财政性资金进行的乘用车出租客运服务。</w:t>
      </w:r>
      <w:r/>
    </w:p>
    <w:p>
      <w:pPr>
        <w:ind w:firstLine="480"/>
        <w:spacing w:line="500" w:lineRule="atLeast"/>
        <w:rPr>
          <w:rFonts w:ascii="宋体" w:hAnsi="宋体" w:eastAsia="宋体" w:cs="宋体"/>
          <w:b/>
          <w:bCs/>
          <w:sz w:val="24"/>
          <w:szCs w:val="24"/>
        </w:rPr>
      </w:pPr>
      <w:r>
        <w:rPr>
          <w:rFonts w:hint="eastAsia" w:ascii="宋体" w:hAnsi="宋体" w:eastAsia="宋体" w:cs="宋体"/>
          <w:b/>
          <w:bCs/>
          <w:sz w:val="24"/>
          <w:szCs w:val="24"/>
        </w:rPr>
        <w:t xml:space="preserve">第二条 用车范围</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市本级单位公务活动出行符合用车规定十五条和《盐城市市级机关租用社会车辆管理办法》。</w:t>
      </w:r>
      <w:r/>
    </w:p>
    <w:p>
      <w:pPr>
        <w:ind w:firstLine="482"/>
        <w:spacing w:line="500" w:lineRule="atLeast"/>
        <w:rPr>
          <w:rFonts w:ascii="宋体" w:hAnsi="宋体" w:eastAsia="宋体" w:cs="宋体"/>
          <w:b/>
          <w:bCs/>
          <w:sz w:val="24"/>
          <w:szCs w:val="24"/>
        </w:rPr>
      </w:pPr>
      <w:r>
        <w:rPr>
          <w:rFonts w:hint="eastAsia" w:ascii="宋体" w:hAnsi="宋体" w:eastAsia="宋体" w:cs="宋体"/>
          <w:b/>
          <w:bCs/>
          <w:sz w:val="24"/>
          <w:szCs w:val="24"/>
        </w:rPr>
        <w:t xml:space="preserve">第三条 用车人使用流程 </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用车人在预算管理一体化系统执行版块填报采购实施计划（采购方式选择框架协议采购），并关联政府采购指标，采购实施计划经审核后自动推送至‘苏采云’系统，方可实施后续采购”内容。用车人在完成单位内部审批后，登录“盐城市公务用车管理平台”申请用车，在公务用车管理平台确认无法提供公务保障车辆后，可自主选择第一阶段入围供应商。</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2.用车人在确定供应商后，需要按照《关于启用江苏省政府采购框架协议电子采购平台的通知》（苏财购〔20</w:t>
      </w:r>
      <w:r>
        <w:rPr>
          <w:rFonts w:hint="eastAsia" w:ascii="宋体" w:hAnsi="宋体" w:eastAsia="宋体" w:cs="宋体"/>
          <w:sz w:val="24"/>
          <w:szCs w:val="24"/>
        </w:rPr>
        <w:t xml:space="preserve">23〕35号）要求，登录‘苏采云’系统框架协议电子采购平台下单采购，并进行合同签订、合同备案等工作。供应商通过自建的车辆管理系统或者“盐城市公务用车管理平台”接收订单，调度符合服务要求的车辆，并将车辆、驾驶员信息反馈给“盐城市公务用车管理平台”，平台将相关用车信息通过短信发送给用车人，供应商在有可用车辆的情况下不得拒单。供应商超过10分钟没有响应订单，用车人可以重新选择其他供应商。用车人在服务开始前40分钟可以取消订单，可备注服务保障的个性化要求，未提前申请的紧急用车情况可在24小时内通过平台补录订单信息。</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3.公务出行保障期间，供应商通过自建平台或《公务出行车辆租赁服务单》准确记录服务开始时间和车辆回场时间，并留存整个行车轨迹信息。</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4.服务结束后，平台将评价短信发送给用车人，评价等级分为“优、良、合格、不合格”，超过48小时后未被评价的订单默认为“优”。</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5.服务结束后，供应商将费用结算信息推送给“盐城市公务用车管理平台”，经用车单位确认后，平台生成完整的订单信息和费用信息，供应商和用车单位据此结算费用。</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第四条 车辆资质要求</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包一（租赁性质）：供应商应当到所在地交通运输主管部门办理备案手续，取得有效的小微型客车租赁备案证明（或许可证）。</w:t>
      </w:r>
      <w:r/>
    </w:p>
    <w:p>
      <w:pPr>
        <w:ind w:firstLine="480"/>
        <w:jc w:val="left"/>
        <w:spacing w:line="500" w:lineRule="atLeast"/>
        <w:widowControl/>
        <w:rPr>
          <w:rFonts w:ascii="宋体" w:hAnsi="宋体" w:eastAsia="宋体" w:cs="宋体"/>
          <w:sz w:val="24"/>
          <w:szCs w:val="24"/>
        </w:rPr>
      </w:pPr>
      <w:r>
        <w:rPr>
          <w:rFonts w:hint="eastAsia" w:ascii="宋体" w:hAnsi="宋体" w:eastAsia="宋体" w:cs="宋体"/>
          <w:sz w:val="24"/>
          <w:szCs w:val="24"/>
        </w:rPr>
        <w:t xml:space="preserve">包二（网约车）：供应商具有合法有效的行业主管部门核发的《网络预约出租汽车经营许可证》，且车辆应当持有相应的《道路运输证》；驾驶员应取得相应的《从业资格证》，且无犯罪记录。</w:t>
      </w:r>
      <w:r/>
    </w:p>
    <w:p>
      <w:pPr>
        <w:ind w:firstLine="480"/>
        <w:jc w:val="left"/>
        <w:spacing w:line="500" w:lineRule="atLeast"/>
        <w:widowControl/>
        <w:rPr>
          <w:rFonts w:ascii="宋体" w:hAnsi="宋体" w:eastAsia="宋体" w:cs="宋体"/>
          <w:sz w:val="24"/>
          <w:szCs w:val="24"/>
        </w:rPr>
      </w:pPr>
      <w:r>
        <w:rPr>
          <w:rFonts w:hint="eastAsia" w:ascii="宋体" w:hAnsi="宋体" w:eastAsia="宋体" w:cs="宋体"/>
          <w:sz w:val="24"/>
          <w:szCs w:val="24"/>
        </w:rPr>
        <w:t xml:space="preserve">包三（市际及以上）：供应商具有合法有效的道路运输经营许可证，且道路运输经营许可证经营范围须包含市际及以上</w:t>
      </w:r>
      <w:r>
        <w:rPr>
          <w:rFonts w:ascii="宋体" w:hAnsi="宋体" w:eastAsia="宋体" w:cs="宋体"/>
          <w:sz w:val="24"/>
          <w:szCs w:val="24"/>
        </w:rPr>
        <w:t xml:space="preserve">包车客运</w:t>
      </w:r>
      <w:r>
        <w:rPr>
          <w:rFonts w:hint="eastAsia" w:ascii="宋体" w:hAnsi="宋体" w:eastAsia="宋体" w:cs="宋体"/>
          <w:sz w:val="24"/>
          <w:szCs w:val="24"/>
        </w:rPr>
        <w:t xml:space="preserve">。</w:t>
      </w:r>
      <w:r/>
    </w:p>
    <w:p>
      <w:pPr>
        <w:ind w:firstLine="480"/>
        <w:jc w:val="left"/>
        <w:spacing w:line="500" w:lineRule="atLeast"/>
        <w:widowControl/>
        <w:rPr>
          <w:rFonts w:ascii="宋体" w:hAnsi="宋体" w:eastAsia="宋体" w:cs="宋体"/>
          <w:sz w:val="24"/>
          <w:szCs w:val="24"/>
        </w:rPr>
      </w:pPr>
      <w:r>
        <w:rPr>
          <w:rFonts w:hint="eastAsia" w:ascii="宋体" w:hAnsi="宋体" w:eastAsia="宋体" w:cs="宋体"/>
          <w:sz w:val="24"/>
          <w:szCs w:val="24"/>
        </w:rPr>
        <w:t xml:space="preserve">包四</w:t>
      </w:r>
      <w:bookmarkStart w:id="185" w:name="OLE_LINK14"/>
      <w:r/>
      <w:bookmarkStart w:id="186" w:name="OLE_LINK17"/>
      <w:r>
        <w:rPr>
          <w:rFonts w:hint="eastAsia" w:ascii="宋体" w:hAnsi="宋体" w:eastAsia="宋体" w:cs="宋体"/>
          <w:sz w:val="24"/>
          <w:szCs w:val="24"/>
        </w:rPr>
        <w:t xml:space="preserve">（县内及以上包车客运或公交客运[仅提供定制公交和点呼公交客运服务]）：供应商具有合法有效的道路运输经营许可证</w:t>
      </w:r>
      <w:bookmarkEnd w:id="185"/>
      <w:r/>
      <w:bookmarkEnd w:id="186"/>
      <w:r>
        <w:rPr>
          <w:rFonts w:hint="eastAsia" w:ascii="宋体" w:hAnsi="宋体" w:eastAsia="宋体" w:cs="宋体"/>
          <w:sz w:val="24"/>
          <w:szCs w:val="24"/>
        </w:rPr>
        <w:t xml:space="preserve">。</w:t>
      </w:r>
      <w:r/>
    </w:p>
    <w:p>
      <w:pPr>
        <w:spacing w:line="500" w:lineRule="atLeast"/>
        <w:rPr>
          <w:rFonts w:ascii="宋体" w:hAnsi="宋体" w:eastAsia="宋体" w:cs="宋体"/>
          <w:b/>
          <w:bCs/>
          <w:sz w:val="24"/>
          <w:szCs w:val="24"/>
        </w:rPr>
      </w:pPr>
      <w:r>
        <w:rPr>
          <w:rFonts w:ascii="宋体" w:hAnsi="宋体" w:eastAsia="宋体" w:cs="宋体"/>
          <w:sz w:val="24"/>
          <w:szCs w:val="24"/>
        </w:rPr>
        <w:t xml:space="preserve">   </w:t>
      </w:r>
      <w:r>
        <w:rPr>
          <w:rFonts w:hint="eastAsia" w:ascii="宋体" w:hAnsi="宋体" w:eastAsia="宋体" w:cs="宋体"/>
          <w:b/>
          <w:bCs/>
          <w:sz w:val="24"/>
          <w:szCs w:val="24"/>
        </w:rPr>
        <w:t xml:space="preserve">第五条 对用车的要求</w:t>
      </w:r>
      <w:r/>
    </w:p>
    <w:p>
      <w:pPr>
        <w:ind w:firstLine="482"/>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 1.乙方提供的车辆应当是公司自有车辆（不含包二），车辆需持有公安部门核发的有效《行驶证》，车辆行驶证注明的使用性质应当为：租赁、出租客运、预约出租客运、公路客运、公交客运或旅游客运；</w:t>
      </w:r>
      <w:r/>
    </w:p>
    <w:p>
      <w:pPr>
        <w:ind w:firstLine="482"/>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从事包一：供应商需与代驾资格相关企业签订员工代驾协议，供应商承担运营第一责任的风险，</w:t>
      </w:r>
      <w:r>
        <w:rPr>
          <w:rFonts w:hint="eastAsia" w:ascii="宋体" w:hAnsi="宋体" w:eastAsia="宋体" w:cs="宋体"/>
          <w:sz w:val="24"/>
          <w:szCs w:val="24"/>
        </w:rPr>
        <w:t xml:space="preserve">代驾资格企业须提供符合车型要求的驾驶证、</w:t>
      </w:r>
      <w:r>
        <w:rPr>
          <w:rFonts w:hint="eastAsia" w:hAnsi="宋体" w:cs="宋体"/>
          <w:sz w:val="24"/>
          <w:szCs w:val="24"/>
        </w:rPr>
        <w:t xml:space="preserve">劳务合同证明以及正常缴纳社保证明，</w:t>
      </w:r>
      <w:r>
        <w:rPr>
          <w:rFonts w:hint="eastAsia" w:ascii="宋体" w:hAnsi="宋体" w:eastAsia="宋体" w:cs="宋体"/>
          <w:sz w:val="24"/>
          <w:szCs w:val="24"/>
        </w:rPr>
        <w:t xml:space="preserve">所有驾驶员须</w:t>
      </w:r>
      <w:r>
        <w:rPr>
          <w:rFonts w:ascii="宋体" w:hAnsi="宋体" w:eastAsia="宋体" w:cs="宋体"/>
          <w:sz w:val="24"/>
          <w:szCs w:val="24"/>
        </w:rPr>
        <w:t xml:space="preserve">无犯罪记录，无违法乱纪行为，文明上岗，诚信守时，作风正派，有较强的服务意识和保密意识等</w:t>
      </w:r>
      <w:r>
        <w:rPr>
          <w:rFonts w:hint="eastAsia" w:hAnsi="宋体" w:cs="宋体"/>
          <w:sz w:val="24"/>
          <w:szCs w:val="24"/>
        </w:rPr>
        <w:t xml:space="preserve">。</w:t>
      </w:r>
      <w:r>
        <w:rPr>
          <w:rFonts w:hint="eastAsia" w:ascii="宋体" w:hAnsi="宋体" w:eastAsia="宋体" w:cs="Times New Roman"/>
          <w:sz w:val="24"/>
          <w:szCs w:val="24"/>
        </w:rPr>
        <w:t xml:space="preserve">提供租赁服务供应商不得提供驾驶员劳务服务；(租用采购包1“租赁性质”车辆要按照出租企业与第三方代驾公司协议计算司机劳务费且必须直接支付给第三方代驾公司)，应当遵守国家法律法规，依法签订相关合同；车辆在执行任务时，起终点至少有一端应在盐城市或大市区范围内，且提前上传于盐城市公务用车管理平台通过审核，保证服务安全规范。</w:t>
      </w:r>
      <w:r/>
    </w:p>
    <w:p>
      <w:pPr>
        <w:ind w:firstLine="482"/>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从事包二：</w:t>
      </w:r>
      <w:bookmarkStart w:id="187" w:name="OLE_LINK10"/>
      <w:r/>
      <w:bookmarkStart w:id="188" w:name="OLE_LINK5"/>
      <w:r>
        <w:rPr>
          <w:rFonts w:hint="eastAsia" w:ascii="宋体" w:hAnsi="宋体" w:eastAsia="宋体" w:cs="Times New Roman"/>
          <w:sz w:val="24"/>
          <w:szCs w:val="24"/>
        </w:rPr>
        <w:t xml:space="preserve">车辆自有或合作经营车辆：1、车辆取得核发的出租车道路运输证、车辆轴距不小于2650、纯电动车续航里程不少于</w:t>
      </w:r>
      <w:r>
        <w:rPr>
          <w:rFonts w:ascii="宋体" w:hAnsi="宋体" w:eastAsia="宋体" w:cs="Times New Roman"/>
          <w:sz w:val="24"/>
          <w:szCs w:val="24"/>
        </w:rPr>
        <w:t xml:space="preserve">300公里、</w:t>
      </w:r>
      <w:r>
        <w:rPr>
          <w:rFonts w:hint="eastAsia" w:ascii="宋体" w:hAnsi="宋体" w:eastAsia="宋体" w:cs="Times New Roman"/>
          <w:sz w:val="24"/>
          <w:szCs w:val="24"/>
        </w:rPr>
        <w:t xml:space="preserve">车辆祼车价格不小于10万、车辆登记日期在2021年1月1日之后；2、 与平台公司签订合同，平台应当提供有效营业执照、道路运输经营许可证，平台承担运营第一责任的风险；3、运营费用由平台与用车人进行结算，平台需向用车人提供车辆明细；4、平台应当将与合作经营车辆签订的合作协议交由甲方备案；5、平台与合作经营车辆签订合作协议，车辆由平台调拨，并明确费用结算的方式（抽佣原则上不高于2</w:t>
      </w:r>
      <w:r>
        <w:rPr>
          <w:rFonts w:ascii="宋体" w:hAnsi="宋体" w:eastAsia="宋体" w:cs="Times New Roman"/>
          <w:sz w:val="24"/>
          <w:szCs w:val="24"/>
        </w:rPr>
        <w:t xml:space="preserve">0%</w:t>
      </w:r>
      <w:r>
        <w:rPr>
          <w:rFonts w:hint="eastAsia" w:ascii="宋体" w:hAnsi="宋体" w:eastAsia="宋体" w:cs="Times New Roman"/>
          <w:sz w:val="24"/>
          <w:szCs w:val="24"/>
        </w:rPr>
        <w:t xml:space="preserve">）。</w:t>
      </w:r>
      <w:bookmarkEnd w:id="187"/>
      <w:r/>
      <w:bookmarkEnd w:id="188"/>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应当遵守国家法律法规，依法签订相关合同；车辆在执行任务时，起终点至少有一端应在盐城市或大市区范围内，且提前上传于盐城市公务用车管理平台通过审核，保证服务安全规范。</w:t>
      </w:r>
      <w:r/>
    </w:p>
    <w:p>
      <w:pPr>
        <w:ind w:firstLine="482"/>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从事包三：车辆需取得交通部门核发的《道路运输证》，并取得相应的经营范围，并按规定缴纳保险；车辆驾驶员应当取得与车型相一致的驾驶证和从业资格证，并依法正常缴纳社保；车辆运营过程中，应当遵守国家法律法规，依法签订相关合同；车辆在执行任务时，起终点至少有一端应在盐城市或大市区范围内，且提前上传于盐城市公务用车管理平台通过审核，保证服务安全规范。</w:t>
      </w:r>
      <w:r/>
    </w:p>
    <w:p>
      <w:pPr>
        <w:ind w:firstLine="482"/>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从事包四：车辆需取得交通部门核发的《道路运输证》，并取得相应的经营范围，并按规定缴纳保险；车辆驾驶员应当取得与车型相一致的驾驶证和从业资格证，并依法正常缴纳社保；车辆运营过程中，应当遵守国家法律法规，依法签订相关合同；车辆在执行任务时，起终点至少有一端应在盐城市或大市区范围内，且提前上传于盐城市公务用车管理平台通过审核，保证服务安全规范。</w:t>
      </w:r>
      <w:r/>
    </w:p>
    <w:p>
      <w:pPr>
        <w:ind w:firstLine="482"/>
        <w:spacing w:line="500" w:lineRule="atLeast"/>
        <w:rPr>
          <w:rFonts w:ascii="宋体" w:hAnsi="宋体" w:eastAsia="宋体" w:cs="宋体"/>
          <w:sz w:val="24"/>
          <w:szCs w:val="24"/>
        </w:rPr>
      </w:pPr>
      <w:r>
        <w:rPr>
          <w:rFonts w:hint="eastAsia" w:ascii="宋体" w:hAnsi="宋体" w:eastAsia="宋体" w:cs="宋体"/>
          <w:sz w:val="24"/>
          <w:szCs w:val="24"/>
        </w:rPr>
        <w:t xml:space="preserve">2.乙方提供的承运车辆应按照国家有关部门要求及时进行车辆维护和检验，并保证所有服务车辆装备、设备良好、配套齐全、安全性能可靠。车辆内外部保持卫生、整洁，并按规定必须投保交通强制险、第三者责任险（不低于100万元）、承运人责任险（不低于50万元/座位），保证合同签订前提供的车辆保险险种、限额达到上述要求，如发生安全事故，</w:t>
      </w:r>
      <w:r>
        <w:rPr>
          <w:rFonts w:hint="eastAsia" w:ascii="宋体" w:hAnsi="宋体" w:eastAsia="宋体" w:cs="Times New Roman"/>
          <w:sz w:val="24"/>
          <w:szCs w:val="24"/>
        </w:rPr>
        <w:t xml:space="preserve">乙方（含网约车平台）应承担第一责任的风险，并承担先赔先付的义务</w:t>
      </w:r>
      <w:r>
        <w:rPr>
          <w:rFonts w:hint="eastAsia" w:ascii="宋体" w:hAnsi="宋体" w:eastAsia="宋体" w:cs="宋体"/>
          <w:sz w:val="24"/>
          <w:szCs w:val="24"/>
        </w:rPr>
        <w:t xml:space="preserve">。</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3.乙方需提供车况良好、外观整洁、车内清洁卫生的服务车辆。</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包一：服务车辆购置时间保证在10年以内，相关部门有权要求乙方更换车辆并酌情处理，且乙方需承担在更换期间给采购方造成的损失。</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包二：服务车辆购置时间保证在5年以内，相关部门有权要求乙方更换车辆并酌情处理，且乙方需承担在更换期间给采购方造成的损失。</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包三：服务车辆购置时间超过8年的，相关部门有权要求乙方更换车辆并酌情处理，且乙方需承担在更换期间给采购方造成的损失。</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包四：服务车辆购置时间超过8年的，相关部门有权要求乙方更换车辆并酌情处理，且乙方需承担在更换期间给采购方造成的损失。</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4.服务车辆车身必须去除供应商LOGO等明显标识（大客车除外），服务期间车窗前摆放“公务出行”标牌。</w:t>
      </w:r>
      <w:r/>
    </w:p>
    <w:p>
      <w:pPr>
        <w:numPr>
          <w:ilvl w:val="0"/>
          <w:numId w:val="3"/>
        </w:numPr>
        <w:ind w:firstLine="482"/>
        <w:jc w:val="left"/>
        <w:spacing w:line="500" w:lineRule="atLeast"/>
        <w:widowControl/>
        <w:rPr>
          <w:rFonts w:ascii="宋体" w:hAnsi="宋体" w:eastAsia="宋体" w:cs="宋体"/>
          <w:b/>
          <w:bCs/>
          <w:sz w:val="24"/>
          <w:szCs w:val="24"/>
        </w:rPr>
      </w:pPr>
      <w:r>
        <w:rPr>
          <w:rFonts w:hint="eastAsia" w:ascii="宋体" w:hAnsi="宋体" w:eastAsia="宋体" w:cs="宋体"/>
          <w:b/>
          <w:bCs/>
          <w:sz w:val="24"/>
          <w:szCs w:val="24"/>
        </w:rPr>
        <w:t xml:space="preserve">对驾驶人员的要求</w:t>
      </w:r>
      <w:r/>
    </w:p>
    <w:p>
      <w:pPr>
        <w:ind w:firstLine="482"/>
        <w:spacing w:line="500" w:lineRule="atLeast"/>
        <w:rPr>
          <w:rFonts w:ascii="宋体" w:hAnsi="宋体" w:eastAsia="宋体" w:cs="宋体"/>
          <w:sz w:val="24"/>
          <w:szCs w:val="24"/>
        </w:rPr>
      </w:pPr>
      <w:r>
        <w:rPr>
          <w:rFonts w:hint="eastAsia" w:ascii="宋体" w:hAnsi="宋体" w:eastAsia="宋体" w:cs="宋体"/>
          <w:sz w:val="24"/>
          <w:szCs w:val="24"/>
        </w:rPr>
        <w:t xml:space="preserve">1.乙方提供的驾驶员应符合以下要求：</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（1）驾照要求：驾驶员可驾车型严格按照交通管理部门规定执行；</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驾龄要求：驾龄3年以上，无不良嗜好，未发生过较大安全事故，且与乙方签订合法有效的合同满1年以及提供近三个月任意一个月的社保缴纳证明材料（不含包二），对江苏省内道路熟悉，讲究职业道德，熟悉道路交通法规，能为客户提供优质服务并具有合法、有效的车辆驾驶证及行业上岗证书的驾驶员。</w:t>
      </w:r>
      <w:r/>
    </w:p>
    <w:p>
      <w:pPr>
        <w:numPr>
          <w:ilvl w:val="0"/>
          <w:numId w:val="4"/>
        </w:numPr>
        <w:ind w:firstLine="480"/>
        <w:jc w:val="left"/>
        <w:spacing w:line="500" w:lineRule="atLeast"/>
        <w:widowControl/>
        <w:rPr>
          <w:rFonts w:ascii="宋体" w:hAnsi="宋体" w:eastAsia="宋体" w:cs="宋体"/>
          <w:sz w:val="24"/>
          <w:szCs w:val="24"/>
        </w:rPr>
      </w:pPr>
      <w:r>
        <w:rPr>
          <w:rFonts w:hint="eastAsia" w:ascii="宋体" w:hAnsi="宋体" w:eastAsia="宋体" w:cs="宋体"/>
          <w:sz w:val="24"/>
          <w:szCs w:val="24"/>
        </w:rPr>
        <w:t xml:space="preserve">回场要求：服务结束后，供应商应规范、及时进行车辆回场操作。盐城市公务用车管理平台将评价短信发送给用车人，服务满意度评价等级分为“优、良、合格、不合格”，超过48小时后未被评价的订单默认为“优”。满意度低于90％，相关部门将进行约谈供应商;低于80％，有权终止合同。</w:t>
      </w:r>
      <w:r/>
    </w:p>
    <w:p>
      <w:pPr>
        <w:numPr>
          <w:ilvl w:val="0"/>
          <w:numId w:val="5"/>
        </w:numPr>
        <w:ind w:firstLine="480"/>
        <w:jc w:val="left"/>
        <w:spacing w:line="500" w:lineRule="atLeast"/>
        <w:widowControl/>
        <w:rPr>
          <w:rFonts w:ascii="宋体" w:hAnsi="宋体" w:eastAsia="宋体" w:cs="宋体"/>
          <w:b/>
          <w:bCs/>
          <w:sz w:val="24"/>
          <w:szCs w:val="24"/>
        </w:rPr>
      </w:pPr>
      <w:r>
        <w:rPr>
          <w:rFonts w:hint="eastAsia" w:ascii="宋体" w:hAnsi="宋体" w:eastAsia="宋体" w:cs="宋体"/>
          <w:b/>
          <w:bCs/>
          <w:sz w:val="24"/>
          <w:szCs w:val="24"/>
        </w:rPr>
        <w:t xml:space="preserve">服务费用及付款方式</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1.由用车人与乙方定期按实结算，提供服务的价格不得超出乙方报价。</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2.结算要求：</w:t>
      </w:r>
      <w:r/>
    </w:p>
    <w:p>
      <w:pPr>
        <w:ind w:firstLine="480"/>
        <w:spacing w:line="500" w:lineRule="atLeast"/>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w:t>
      </w:r>
      <w:bookmarkStart w:id="189" w:name="OLE_LINK33"/>
      <w:r>
        <w:rPr>
          <w:rFonts w:ascii="宋体" w:hAnsi="宋体" w:eastAsia="宋体" w:cs="宋体"/>
          <w:sz w:val="24"/>
          <w:szCs w:val="24"/>
        </w:rPr>
        <w:t xml:space="preserve">1</w:t>
      </w:r>
      <w:r>
        <w:rPr>
          <w:rFonts w:hint="eastAsia" w:ascii="宋体" w:hAnsi="宋体" w:eastAsia="宋体" w:cs="宋体"/>
          <w:sz w:val="24"/>
          <w:szCs w:val="24"/>
        </w:rPr>
        <w:t xml:space="preserve">除驾驶员住宿费（</w:t>
      </w:r>
      <w:r>
        <w:rPr>
          <w:rFonts w:ascii="宋体" w:hAnsi="宋体" w:eastAsia="宋体" w:cs="宋体"/>
          <w:sz w:val="24"/>
          <w:szCs w:val="24"/>
        </w:rPr>
        <w:t xml:space="preserve">包二网约车</w:t>
      </w:r>
      <w:r>
        <w:rPr>
          <w:rFonts w:hint="eastAsia" w:ascii="宋体" w:hAnsi="宋体" w:eastAsia="宋体" w:cs="宋体"/>
          <w:sz w:val="24"/>
          <w:szCs w:val="24"/>
        </w:rPr>
        <w:t xml:space="preserve">司机住宿费由中标公司自理）、过路过桥费、停车费由采购人(用车方)据实</w:t>
      </w:r>
      <w:r>
        <w:rPr>
          <w:rFonts w:ascii="宋体" w:hAnsi="宋体" w:eastAsia="宋体" w:cs="宋体"/>
          <w:sz w:val="24"/>
          <w:szCs w:val="24"/>
        </w:rPr>
        <w:t xml:space="preserve">支付</w:t>
      </w:r>
      <w:r>
        <w:rPr>
          <w:rFonts w:hint="eastAsia" w:ascii="宋体" w:hAnsi="宋体" w:eastAsia="宋体" w:cs="宋体"/>
          <w:sz w:val="24"/>
          <w:szCs w:val="24"/>
        </w:rPr>
        <w:t xml:space="preserve">外，其他一切费用（包括但不限于保险费、日常保养费、燃油费、维修费、年审费、折旧费、交通事故产生的费用、随车驾驶员工资福利费、保险、相关税金等所有费用）由入围供应商承担。由采购人(用车方)据实支付的驾驶员住宿费，不得超过盐城市现行机关差旅费管理相关办法规定标准。</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凭轨迹图报销（含起始结束时间、以及总里程数），</w:t>
      </w:r>
      <w:r>
        <w:rPr>
          <w:rFonts w:hint="eastAsia" w:ascii="宋体" w:hAnsi="宋体" w:cs="宋体"/>
          <w:sz w:val="24"/>
          <w:szCs w:val="24"/>
        </w:rPr>
        <w:t xml:space="preserve">超时超公里不得重复加收费用</w:t>
      </w:r>
      <w:r>
        <w:rPr>
          <w:rFonts w:hint="eastAsia" w:ascii="宋体" w:hAnsi="宋体" w:eastAsia="宋体" w:cs="宋体"/>
          <w:sz w:val="24"/>
          <w:szCs w:val="24"/>
        </w:rPr>
        <w:t xml:space="preserve">。</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2.3租用采购包1（租赁性质）</w:t>
      </w:r>
      <w:bookmarkEnd w:id="189"/>
      <w:r>
        <w:rPr>
          <w:rFonts w:hint="eastAsia" w:ascii="宋体" w:hAnsi="宋体" w:eastAsia="宋体" w:cs="宋体"/>
          <w:sz w:val="24"/>
          <w:szCs w:val="24"/>
        </w:rPr>
        <w:t xml:space="preserve">车辆要按照出租企业与第三方代驾公司协议计算司机劳务费且必须直接支付给第三方代驾公司。</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3.供应商将费用结算信息上传至盐城市公务用车管理平台，经用车单位确认后，平台生成完整的租赁费用结算单，供应商和用车单位导出打印租赁费用结算单，各单位与供应商线下结算。 </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4.车辆使用费支付方式为：用户方通过银行转账。乙方指定收款账户信息如下：</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开户银行：                         </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银行帐号：</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用户方将款项支付至该账户，即表明甲方认可的用户已履行完毕付款义务，该账户的一切法律风险由乙方承担。</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5.乙方在收取用户方款项前应向用户方提供正规的增值税发票及相关用车明细汇总。</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6.增值税发票条款:乙方须按照税务局登记信息准确告知用户方纳税人资质，并对此信息的准确性负责。乙方必须出具符合合同约定经济事项的正规增值税发票。乙方未提前提供合格发票的，用户方有权延迟或拒绝付款；如乙方提供虚假发票的，或因乙方提供的发票瑕疵给甲方和用户造成损失的，乙方承担由此产生的一切后果。</w:t>
      </w:r>
      <w:r/>
    </w:p>
    <w:p>
      <w:pPr>
        <w:ind w:firstLine="480"/>
        <w:spacing w:line="500" w:lineRule="atLeast"/>
        <w:rPr>
          <w:rFonts w:ascii="宋体" w:hAnsi="宋体" w:eastAsia="宋体" w:cs="宋体"/>
          <w:b/>
          <w:bCs/>
          <w:sz w:val="24"/>
          <w:szCs w:val="24"/>
        </w:rPr>
      </w:pPr>
      <w:r>
        <w:rPr>
          <w:rFonts w:hint="eastAsia" w:ascii="宋体" w:hAnsi="宋体" w:eastAsia="宋体" w:cs="宋体"/>
          <w:b/>
          <w:bCs/>
          <w:sz w:val="24"/>
          <w:szCs w:val="24"/>
        </w:rPr>
        <w:t xml:space="preserve">第八条 甲方和用车人的权利</w:t>
      </w:r>
      <w:r/>
    </w:p>
    <w:p>
      <w:pPr>
        <w:ind w:firstLine="480"/>
        <w:spacing w:line="500" w:lineRule="atLeast"/>
        <w:rPr>
          <w:rFonts w:ascii="宋体" w:hAnsi="宋体" w:eastAsia="宋体" w:cs="宋体"/>
          <w:b/>
          <w:i/>
          <w:sz w:val="24"/>
          <w:szCs w:val="24"/>
        </w:rPr>
      </w:pPr>
      <w:r>
        <w:rPr>
          <w:rFonts w:hint="eastAsia" w:ascii="宋体" w:hAnsi="宋体" w:eastAsia="宋体" w:cs="宋体"/>
          <w:sz w:val="24"/>
          <w:szCs w:val="24"/>
        </w:rPr>
        <w:t xml:space="preserve">1.用车人有权获得优先服务</w:t>
      </w:r>
      <w:r>
        <w:rPr>
          <w:rFonts w:ascii="宋体" w:hAnsi="宋体" w:eastAsia="宋体" w:cs="宋体"/>
          <w:sz w:val="24"/>
          <w:szCs w:val="24"/>
        </w:rPr>
        <w:t xml:space="preserve">，</w:t>
      </w:r>
      <w:r>
        <w:rPr>
          <w:rFonts w:hint="eastAsia" w:ascii="宋体" w:hAnsi="宋体" w:eastAsia="宋体" w:cs="宋体"/>
          <w:sz w:val="24"/>
          <w:szCs w:val="24"/>
        </w:rPr>
        <w:t xml:space="preserve">乙方必须服从甲方及用车人的管理。</w:t>
      </w:r>
      <w:r>
        <w:rPr>
          <w:rFonts w:hint="eastAsia" w:ascii="宋体" w:hAnsi="宋体" w:eastAsia="宋体" w:cs="宋体"/>
          <w:b/>
          <w:i/>
          <w:sz w:val="24"/>
          <w:szCs w:val="24"/>
        </w:rPr>
        <w:t xml:space="preserve">在履约</w:t>
      </w:r>
      <w:r>
        <w:rPr>
          <w:rFonts w:ascii="宋体" w:hAnsi="宋体" w:eastAsia="宋体" w:cs="宋体"/>
          <w:b/>
          <w:i/>
          <w:sz w:val="24"/>
          <w:szCs w:val="24"/>
        </w:rPr>
        <w:t xml:space="preserve">期间甲方将保持动态核查，联合交通、公安、银监</w:t>
      </w:r>
      <w:r>
        <w:rPr>
          <w:rFonts w:hint="eastAsia" w:ascii="宋体" w:hAnsi="宋体" w:eastAsia="宋体" w:cs="宋体"/>
          <w:b/>
          <w:i/>
          <w:sz w:val="24"/>
          <w:szCs w:val="24"/>
        </w:rPr>
        <w:t xml:space="preserve">保险</w:t>
      </w:r>
      <w:r>
        <w:rPr>
          <w:rFonts w:ascii="宋体" w:hAnsi="宋体" w:eastAsia="宋体" w:cs="宋体"/>
          <w:b/>
          <w:i/>
          <w:sz w:val="24"/>
          <w:szCs w:val="24"/>
        </w:rPr>
        <w:t xml:space="preserve">等部门定期对车辆及人员情况进行信息比对，对</w:t>
      </w:r>
      <w:r>
        <w:rPr>
          <w:rFonts w:hint="eastAsia" w:ascii="宋体" w:hAnsi="宋体" w:eastAsia="宋体" w:cs="宋体"/>
          <w:b/>
          <w:i/>
          <w:sz w:val="24"/>
          <w:szCs w:val="24"/>
        </w:rPr>
        <w:t xml:space="preserve">违规</w:t>
      </w:r>
      <w:r>
        <w:rPr>
          <w:rFonts w:ascii="宋体" w:hAnsi="宋体" w:eastAsia="宋体" w:cs="宋体"/>
          <w:b/>
          <w:i/>
          <w:sz w:val="24"/>
          <w:szCs w:val="24"/>
        </w:rPr>
        <w:t xml:space="preserve">车辆或单位按照框架协议规定进行</w:t>
      </w:r>
      <w:r>
        <w:rPr>
          <w:rFonts w:hint="eastAsia" w:ascii="宋体" w:hAnsi="宋体" w:eastAsia="宋体" w:cs="宋体"/>
          <w:b/>
          <w:i/>
          <w:sz w:val="24"/>
          <w:szCs w:val="24"/>
        </w:rPr>
        <w:t xml:space="preserve">处罚</w:t>
      </w:r>
      <w:r>
        <w:rPr>
          <w:rFonts w:ascii="宋体" w:hAnsi="宋体" w:eastAsia="宋体" w:cs="宋体"/>
          <w:b/>
          <w:i/>
          <w:sz w:val="24"/>
          <w:szCs w:val="24"/>
        </w:rPr>
        <w:t xml:space="preserve">；乙方的车辆与人员必须满足框架协议要求，如在履约期间发现要求的车辆或人员数量不足，则做出清退车辆或单位处理。</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2.用车人用车期间，乙方应服从用户方调配，为保障安全行车，用户方应保证乙方司机的规定休息时间，合理安排使用车辆，不得强求乙方驾驶员疲劳驾驶；  </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甲方和用车人均有权向有关部门投诉乙方违约行为；合同期内乙方违约的，甲方有权决定是否行使合同解除权；甲方要求乙方继续履行的，乙方应当履行。乙方的违约行为给甲方造成的损失超过本合同约定的违约金数额的，乙方应按甲方的实际损失数额进行赔偿。</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4.甲方有权对服务质量进行监督和检查；</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5.甲方有权联合相关管理部门对乙方的财务、服务记录、车辆人员等情况进行定期、不定期检查，包括但不限于：</w:t>
      </w:r>
      <w:r/>
    </w:p>
    <w:p>
      <w:pPr>
        <w:numPr>
          <w:ilvl w:val="0"/>
          <w:numId w:val="6"/>
        </w:numPr>
        <w:ind w:firstLine="480"/>
        <w:jc w:val="left"/>
        <w:spacing w:line="500" w:lineRule="atLeast"/>
        <w:widowControl/>
        <w:rPr>
          <w:rFonts w:ascii="宋体" w:hAnsi="宋体" w:eastAsia="宋体" w:cs="宋体"/>
          <w:sz w:val="24"/>
          <w:szCs w:val="24"/>
        </w:rPr>
      </w:pPr>
      <w:r>
        <w:rPr>
          <w:rFonts w:hint="eastAsia" w:ascii="宋体" w:hAnsi="宋体" w:eastAsia="宋体" w:cs="宋体"/>
          <w:sz w:val="24"/>
          <w:szCs w:val="24"/>
        </w:rPr>
        <w:t xml:space="preserve">乙方财务资料；</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（2）询问当事人或者有关人员，并可以要求其提供证明材料和与提供公务出行服务行为有关的其他资料；</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（3）查询、复制与提供公务出行服务行为有关的台帐、单据、凭证、文件及其他资料，核对与提供公务出行服务行为有关的技术资料；</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（4）在证据可能灭失或者以后难以取得的情况下，可以先行登记保存，乙方不得转移、隐匿或者销毁证据；</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（5）委派第三方进行审计。</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6.要求查询乙方提供车辆以及驾驶员的相关证明，乙方应如实提供有关资料和凭证；</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7.甲方有权将本框架协议所有内容向用车人及社会予以公布，具体方式和方法由甲方确定；</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8.如乙方未能履行本协议规定的义务，甲方有权单方暂停或终止与乙方的框架协议；</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9.对于用车人和乙方在费用结算过程中发生的经济纠纷，由用车人和乙方自行协商解决，甲方不承担任何责任。</w:t>
      </w:r>
      <w:r/>
    </w:p>
    <w:p>
      <w:pPr>
        <w:ind w:firstLine="480"/>
        <w:spacing w:line="500" w:lineRule="atLeast"/>
        <w:rPr>
          <w:rFonts w:ascii="宋体" w:hAnsi="宋体" w:eastAsia="宋体" w:cs="宋体"/>
          <w:b/>
          <w:bCs/>
          <w:sz w:val="24"/>
          <w:szCs w:val="24"/>
        </w:rPr>
      </w:pPr>
      <w:r>
        <w:rPr>
          <w:rFonts w:hint="eastAsia" w:ascii="宋体" w:hAnsi="宋体" w:eastAsia="宋体" w:cs="宋体"/>
          <w:b/>
          <w:bCs/>
          <w:sz w:val="24"/>
          <w:szCs w:val="24"/>
        </w:rPr>
        <w:t xml:space="preserve">第九条 甲方的义务</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1.为第二阶段合同授予提供工作便利；</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2.对第二阶段最高限价和需求标准执行情况进行管理；</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3.对第二阶段确定成交供应商情况进行管理；</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4.建立用户反馈和评价机制，接受采购人和服务对象对入围供应商履行框架协议和采购合同情况的反馈与评价，并将用户反馈和评价情况向采购人和服务对象公开，作为第二阶段直接选定成交供应商的参考；</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5.第二阶段直接选定，采购人无需发布单笔公告，在框架协议有效期满后，按相关规定由系统汇总并配合甲方完成汇总公告发布；</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6.办理入围供应商清退和补充相关事宜。</w:t>
      </w:r>
      <w:r/>
    </w:p>
    <w:p>
      <w:pPr>
        <w:ind w:firstLine="480"/>
        <w:spacing w:line="500" w:lineRule="atLeast"/>
        <w:rPr>
          <w:rFonts w:ascii="宋体" w:hAnsi="宋体" w:eastAsia="宋体" w:cs="宋体"/>
          <w:b/>
          <w:bCs/>
          <w:sz w:val="24"/>
          <w:szCs w:val="24"/>
        </w:rPr>
      </w:pPr>
      <w:r>
        <w:rPr>
          <w:rFonts w:hint="eastAsia" w:ascii="宋体" w:hAnsi="宋体" w:eastAsia="宋体" w:cs="宋体"/>
          <w:b/>
          <w:bCs/>
          <w:sz w:val="24"/>
          <w:szCs w:val="24"/>
        </w:rPr>
        <w:t xml:space="preserve">第十条 乙方的权利</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1.有权要求甲方督促用车人按时结清费用；</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2.有权拒绝甲方及用车人提出的除公务出行出租客运服务以外的要求；</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3.有权向有关部门投诉甲方的违约行为；</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4.乙方对于拖欠费用的用车人有权拒绝提供服务；</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5.甲方同意乙方在本框架协议有效期限内以“2026－2027年度盐城市市本级党政机关、事业单位和团体组织乘用车出租客运服务框架协议入围供应商”的名义进行广告宣传。</w:t>
      </w:r>
      <w:r/>
    </w:p>
    <w:p>
      <w:pPr>
        <w:ind w:firstLine="480"/>
        <w:spacing w:line="500" w:lineRule="atLeast"/>
        <w:rPr>
          <w:rFonts w:ascii="宋体" w:hAnsi="宋体" w:eastAsia="宋体" w:cs="宋体"/>
          <w:b/>
          <w:bCs/>
          <w:sz w:val="24"/>
          <w:szCs w:val="24"/>
        </w:rPr>
      </w:pPr>
      <w:r>
        <w:rPr>
          <w:rFonts w:hint="eastAsia" w:ascii="宋体" w:hAnsi="宋体" w:eastAsia="宋体" w:cs="宋体"/>
          <w:b/>
          <w:bCs/>
          <w:sz w:val="24"/>
          <w:szCs w:val="24"/>
        </w:rPr>
        <w:t xml:space="preserve">第十一条 乙方的义务</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1.乙方提供全天候24小时服务，临时租车市内30分钟以内到达租车单位；</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2.乙方在签订协议前已与盐城市公务用车管理平台按照对接要求完成对接，同时按要求提供对接承诺书；</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3.乙方在基本服务质量要求外，应就车辆的卫生保洁、驾驶人员的统一着装、服务创新、服务质量标准化、应急方案、服务监督、重大活动保障等方面提出服务承诺；</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4.乙方车辆在提供服务期间发生故障，无法正常行驶，乙方须及时调换备用服务车辆确保公务出行正常运行；</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5.乙方提供给甲方和用户的驾驶员与甲方和用户无任何关系。乙方须建立健全专门的安全管理机制，定期对驾驶员开展安全教育；对每个驾驶员进行岗前素质培训，传达、学习有关安全、文明营运文件，对驾驶员的安全行车提出具体要求，消除事故隐患，开好安全车；</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6.乙方在提供车辆服务期间，乙方引起用户方用车人有理由投诉，用户方有权扣减当天车辆服务费。</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7.服务车辆应严格依照《盐城市党政机关公务用车管理办法》进行管理。供应商要建立车辆卫星定位和监控系统，对所有运营车辆实行24小时动态监控和监管，出现违规违纪或违反《盐城市党政机关公务用车管理办法》相关规定要求等情况，及时提醒，做到“车辆一动，监督受控，车辆不停，监控不止”，以保障车辆运行的规范和安全，利用车辆卫星定位系统随时监控租赁服务车辆的去向动态及记录行驶轨迹；</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8.乙方在提供服务时须遵守有关保密规定；</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9.不得向用车人或经办人员以任何形式提供好处；</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10.按服务承诺兑现各项服务措施；</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11.乙方不得给予本框架协议规定的“用车对象及范围”以外的任何单位低于本框架协议的优惠价格，即本框架协议价格是乙方的最优惠价格；</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12.不得拒绝甲方、公务用车主管部门、行业主管部门、政采监管部门的监督检查。</w:t>
      </w:r>
      <w:r/>
    </w:p>
    <w:p>
      <w:pPr>
        <w:ind w:firstLine="480"/>
        <w:spacing w:line="500" w:lineRule="atLeast"/>
        <w:rPr>
          <w:rFonts w:ascii="宋体" w:hAnsi="宋体" w:eastAsia="宋体" w:cs="宋体"/>
          <w:b/>
          <w:bCs/>
          <w:sz w:val="24"/>
          <w:szCs w:val="24"/>
        </w:rPr>
      </w:pPr>
      <w:r>
        <w:rPr>
          <w:rFonts w:hint="eastAsia" w:ascii="宋体" w:hAnsi="宋体" w:eastAsia="宋体" w:cs="宋体"/>
          <w:b/>
          <w:bCs/>
          <w:sz w:val="24"/>
          <w:szCs w:val="24"/>
        </w:rPr>
        <w:t xml:space="preserve">第十二条 违约责任</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1.乙方遇特殊原因需更换驾驶员、车辆必须提前通过</w:t>
      </w:r>
      <w:bookmarkStart w:id="190" w:name="OLE_LINK29"/>
      <w:r/>
      <w:bookmarkStart w:id="191" w:name="OLE_LINK30"/>
      <w:r>
        <w:rPr>
          <w:rFonts w:hint="eastAsia" w:ascii="宋体" w:hAnsi="宋体" w:eastAsia="宋体" w:cs="宋体"/>
          <w:sz w:val="24"/>
          <w:szCs w:val="24"/>
        </w:rPr>
        <w:t xml:space="preserve">书面</w:t>
      </w:r>
      <w:bookmarkEnd w:id="190"/>
      <w:r/>
      <w:bookmarkEnd w:id="191"/>
      <w:r>
        <w:rPr>
          <w:rFonts w:hint="eastAsia" w:ascii="宋体" w:hAnsi="宋体" w:eastAsia="宋体" w:cs="宋体"/>
          <w:sz w:val="24"/>
          <w:szCs w:val="24"/>
        </w:rPr>
        <w:t xml:space="preserve">告知相关调整信息，做好补充工作；未提前书面告知更换车辆、车型或人员，则按照约定处理；</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2.乙方车辆在用车人用车期间，车辆发生抛锚等非主观原因造成用车人损失，乙方应支付用户方乘车人员当天发生的交通费；</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3.乙方车辆发生事故或故障应及时启用备用车辆并提前通知用车人，以确保用车人工作的正常使用，如临时大修（修理时间超过 4 小时）或其他原因导致用车人不能正常使用，乙方应提供备用正规车辆为用车人使用，并全额承担由于车辆原因导致用车人员利用社会资源外出的相关费用；</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4.因乙方原因未达到用车人计划规定的内容而造成用车人直接和间接经济损失的，由乙方负责赔偿用车人所受损失；</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5.乙方接受用车人公务出行委托后，不得擅自转给其他单位，否则将追究相应责任并按相关管理措施要求进行处理。用车人自行提出转单位要求，或因乙方人员、车辆等原因确实无法履约必须转单位的，承担单位亦应具有相应资格。</w:t>
      </w:r>
      <w:r/>
    </w:p>
    <w:p>
      <w:pPr>
        <w:ind w:firstLine="480"/>
        <w:spacing w:line="500" w:lineRule="atLeast"/>
        <w:rPr>
          <w:rFonts w:ascii="宋体" w:hAnsi="宋体" w:eastAsia="宋体" w:cs="宋体"/>
          <w:b/>
          <w:bCs/>
          <w:sz w:val="24"/>
          <w:szCs w:val="24"/>
        </w:rPr>
      </w:pPr>
      <w:r>
        <w:rPr>
          <w:rFonts w:hint="eastAsia" w:ascii="宋体" w:hAnsi="宋体" w:eastAsia="宋体" w:cs="宋体"/>
          <w:b/>
          <w:bCs/>
          <w:sz w:val="24"/>
          <w:szCs w:val="24"/>
        </w:rPr>
        <w:t xml:space="preserve">第十三条 履约管理要求</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1.管理形式：盐城市机关事务管理局将会同公务用车主管部门、行业主管部门、政采监管部门定期或不定期地对入围供应商的服务质量、履约情况进行监督检查，检查和处理结果将在框架协议系统公布；</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2.管理标准：在监管检查中，如发现以下情形，视为不合格行为。相关部门在核实情况后将对相关责任供应商予以处理：</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.1</w:t>
      </w:r>
      <w:r>
        <w:rPr>
          <w:rFonts w:hint="eastAsia" w:ascii="宋体" w:hAnsi="宋体" w:eastAsia="宋体" w:cs="宋体"/>
          <w:sz w:val="24"/>
          <w:szCs w:val="24"/>
        </w:rPr>
        <w:t xml:space="preserve">入围供应商提供的服务不符合国家有关规定、响应承诺和框架协议规定；2</w:t>
      </w:r>
      <w:r>
        <w:rPr>
          <w:rFonts w:ascii="宋体" w:hAnsi="宋体" w:eastAsia="宋体" w:cs="宋体"/>
          <w:sz w:val="24"/>
          <w:szCs w:val="24"/>
        </w:rPr>
        <w:t xml:space="preserve">.2</w:t>
      </w:r>
      <w:r>
        <w:rPr>
          <w:rFonts w:hint="eastAsia" w:ascii="宋体" w:hAnsi="宋体" w:eastAsia="宋体" w:cs="宋体"/>
          <w:sz w:val="24"/>
          <w:szCs w:val="24"/>
        </w:rPr>
        <w:t xml:space="preserve">无正当理由拒单或不按照承诺提供服务；</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2具体项目成交价高于其入围价格或服务承诺；</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3使用不正当竞争手段，影响采购单位正常采购活动；</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4满意度调查中采购人反馈不满意，经核实确系供应商责任；</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5其他违法违规行为。</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3.管理措施：对履约监管中发现的不合格行为，按以下措施处理：</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整改：入围供应商在框架协议服务期间存在不合格行为的，由相关部门出具《责令整改通知书》，限定时间完成整改。被开具《责令整改通知书》的供应商，视作差评，记录在案；</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.2</w:t>
      </w:r>
      <w:r>
        <w:rPr>
          <w:rFonts w:hint="eastAsia" w:ascii="宋体" w:hAnsi="宋体" w:eastAsia="宋体" w:cs="宋体"/>
          <w:sz w:val="24"/>
          <w:szCs w:val="24"/>
        </w:rPr>
        <w:t xml:space="preserve">暂停交易资格：对拒不接受相关部门约谈，或者规定时间未按《责令整改通知书》完成整改的供应商，暂停其框架协议交易资格三个月；</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.3</w:t>
      </w:r>
      <w:r>
        <w:rPr>
          <w:rFonts w:hint="eastAsia" w:ascii="宋体" w:hAnsi="宋体" w:eastAsia="宋体" w:cs="宋体"/>
          <w:sz w:val="24"/>
          <w:szCs w:val="24"/>
        </w:rPr>
        <w:t xml:space="preserve">终止交易资格：入围供应商存在</w:t>
      </w:r>
      <w:bookmarkStart w:id="192" w:name="OLE_LINK2"/>
      <w:r>
        <w:rPr>
          <w:rFonts w:hint="eastAsia" w:ascii="宋体" w:hAnsi="宋体" w:eastAsia="宋体" w:cs="宋体"/>
          <w:sz w:val="24"/>
          <w:szCs w:val="24"/>
        </w:rPr>
        <w:t xml:space="preserve">财政部第110号令</w:t>
      </w:r>
      <w:bookmarkEnd w:id="192"/>
      <w:r>
        <w:rPr>
          <w:rFonts w:hint="eastAsia" w:ascii="宋体" w:hAnsi="宋体" w:eastAsia="宋体" w:cs="宋体"/>
          <w:sz w:val="24"/>
          <w:szCs w:val="24"/>
        </w:rPr>
        <w:t xml:space="preserve">涉及的情形以及无正当理由放弃封闭式框架协议入围资格或者退出封闭式框架协议的，将取消其入围资格，解除与其签订的框架协议，同时依照政府采购法等有关法律、行政法规追究法律责任。</w:t>
      </w:r>
      <w:r/>
    </w:p>
    <w:p>
      <w:pPr>
        <w:ind w:firstLine="480"/>
        <w:spacing w:line="500" w:lineRule="atLeast"/>
        <w:rPr>
          <w:rFonts w:ascii="宋体" w:hAnsi="宋体" w:eastAsia="宋体" w:cs="宋体"/>
          <w:b/>
          <w:bCs/>
          <w:sz w:val="24"/>
          <w:szCs w:val="24"/>
        </w:rPr>
      </w:pPr>
      <w:r>
        <w:rPr>
          <w:rFonts w:hint="eastAsia" w:ascii="宋体" w:hAnsi="宋体" w:eastAsia="宋体" w:cs="宋体"/>
          <w:b/>
          <w:bCs/>
          <w:sz w:val="24"/>
          <w:szCs w:val="24"/>
        </w:rPr>
        <w:t xml:space="preserve">第十四条 框架协议的修正和终止</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1.任何一方无正当理由不得擅自解除本框架协议，否则擅自解除框架协议的一方应向对方支付违约金；</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2.经甲、乙双方一致同意，可以修正或依法终止本框架协议；</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3.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4.乙方发生下列情况，甲方有权单方面依法终止本框架协议：</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（1）乙方破产、解散、清算、停业以及其他原因无法为公务用车提供出租客运服务的；</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（2）乙方设施、设备发生重大变化，无法满足提供公务出行客运服务需要。</w:t>
      </w:r>
      <w:r/>
    </w:p>
    <w:p>
      <w:pPr>
        <w:ind w:firstLine="480"/>
        <w:spacing w:line="500" w:lineRule="atLeast"/>
        <w:rPr>
          <w:rFonts w:ascii="宋体" w:hAnsi="宋体" w:eastAsia="宋体" w:cs="宋体"/>
          <w:sz w:val="24"/>
          <w:szCs w:val="24"/>
        </w:rPr>
      </w:pPr>
      <w:r>
        <w:rPr>
          <w:rFonts w:hint="eastAsia" w:ascii="宋体" w:hAnsi="宋体" w:eastAsia="宋体" w:cs="宋体"/>
          <w:b/>
          <w:bCs/>
          <w:sz w:val="24"/>
          <w:szCs w:val="24"/>
        </w:rPr>
        <w:t xml:space="preserve">第十五条 框架协议的期限：</w:t>
      </w:r>
      <w:r>
        <w:rPr>
          <w:rFonts w:hint="eastAsia" w:ascii="宋体" w:hAnsi="宋体" w:eastAsia="宋体" w:cs="宋体"/>
          <w:sz w:val="24"/>
          <w:szCs w:val="24"/>
        </w:rPr>
        <w:t xml:space="preserve">202</w:t>
      </w:r>
      <w:r>
        <w:rPr>
          <w:rFonts w:ascii="宋体" w:hAnsi="宋体" w:eastAsia="宋体" w:cs="宋体"/>
          <w:sz w:val="24"/>
          <w:szCs w:val="24"/>
        </w:rPr>
        <w:t xml:space="preserve">6</w:t>
      </w:r>
      <w:r>
        <w:rPr>
          <w:rFonts w:hint="eastAsia" w:ascii="宋体" w:hAnsi="宋体" w:eastAsia="宋体" w:cs="宋体"/>
          <w:sz w:val="24"/>
          <w:szCs w:val="24"/>
        </w:rPr>
        <w:t xml:space="preserve">年1月1日至202</w:t>
      </w:r>
      <w:r>
        <w:rPr>
          <w:rFonts w:ascii="宋体" w:hAnsi="宋体" w:eastAsia="宋体" w:cs="宋体"/>
          <w:sz w:val="24"/>
          <w:szCs w:val="24"/>
        </w:rPr>
        <w:t xml:space="preserve">7</w:t>
      </w:r>
      <w:r>
        <w:rPr>
          <w:rFonts w:hint="eastAsia" w:ascii="宋体" w:hAnsi="宋体" w:eastAsia="宋体" w:cs="宋体"/>
          <w:sz w:val="24"/>
          <w:szCs w:val="24"/>
        </w:rPr>
        <w:t xml:space="preserve">年12月31日（本项目框架协议的期限暂定为2年）。</w:t>
      </w:r>
      <w:r/>
    </w:p>
    <w:p>
      <w:pPr>
        <w:ind w:firstLine="480"/>
        <w:spacing w:line="500" w:lineRule="atLeast"/>
        <w:rPr>
          <w:rFonts w:ascii="宋体" w:hAnsi="宋体" w:eastAsia="宋体" w:cs="Times New Roman"/>
          <w:bCs/>
          <w:sz w:val="24"/>
          <w:szCs w:val="24"/>
        </w:rPr>
      </w:pPr>
      <w:r>
        <w:rPr>
          <w:rFonts w:hint="eastAsia" w:ascii="宋体" w:hAnsi="宋体" w:eastAsia="宋体" w:cs="宋体"/>
          <w:b/>
          <w:bCs/>
          <w:sz w:val="24"/>
          <w:szCs w:val="24"/>
        </w:rPr>
        <w:t xml:space="preserve">第十六条 框架协议合同授予：</w:t>
      </w:r>
      <w:r>
        <w:rPr>
          <w:rFonts w:hint="eastAsia" w:ascii="宋体" w:hAnsi="宋体" w:eastAsia="宋体" w:cs="宋体"/>
          <w:sz w:val="24"/>
          <w:szCs w:val="24"/>
        </w:rPr>
        <w:t xml:space="preserve">确定第二阶段成交供应商应当由采购人或服务对象依据质量以及服</w:t>
      </w:r>
      <w:r>
        <w:rPr>
          <w:rFonts w:hint="eastAsia" w:ascii="宋体" w:hAnsi="宋体" w:eastAsia="宋体" w:cs="Times New Roman"/>
          <w:bCs/>
          <w:sz w:val="24"/>
          <w:szCs w:val="24"/>
        </w:rPr>
        <w:t xml:space="preserve">务便利性、用户评价等因素，从第一阶段入围供应商中直接选定。</w:t>
      </w:r>
      <w:r/>
    </w:p>
    <w:p>
      <w:pPr>
        <w:ind w:firstLine="480"/>
        <w:spacing w:line="500" w:lineRule="atLeast"/>
        <w:rPr>
          <w:rFonts w:ascii="宋体" w:hAnsi="宋体" w:eastAsia="宋体" w:cs="宋体"/>
          <w:b/>
          <w:bCs/>
          <w:sz w:val="24"/>
          <w:szCs w:val="20"/>
        </w:rPr>
      </w:pPr>
      <w:r>
        <w:rPr>
          <w:rFonts w:hint="eastAsia" w:ascii="宋体" w:hAnsi="宋体" w:eastAsia="宋体" w:cs="宋体"/>
          <w:b/>
          <w:bCs/>
          <w:sz w:val="24"/>
          <w:szCs w:val="24"/>
        </w:rPr>
        <w:t xml:space="preserve">第十七条 入围供应商的清退和补充规则</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480"/>
        <w:spacing w:line="500" w:lineRule="atLeast"/>
        <w:rPr>
          <w:rFonts w:ascii="宋体" w:hAnsi="宋体" w:eastAsia="宋体" w:cs="宋体"/>
          <w:b/>
          <w:bCs/>
          <w:sz w:val="24"/>
          <w:szCs w:val="24"/>
        </w:rPr>
      </w:pPr>
      <w:r>
        <w:rPr>
          <w:rFonts w:hint="eastAsia" w:ascii="宋体" w:hAnsi="宋体" w:eastAsia="宋体" w:cs="宋体"/>
          <w:b/>
          <w:bCs/>
          <w:sz w:val="24"/>
          <w:szCs w:val="24"/>
        </w:rPr>
        <w:t xml:space="preserve">第十八条 解决争议的方法</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双方在执行框架协议合同中所发生的一切争议，应通过协商解决。如协商不成，可向甲方所在地人民法院起诉。</w:t>
      </w:r>
      <w:r/>
    </w:p>
    <w:p>
      <w:pPr>
        <w:ind w:firstLine="480"/>
        <w:spacing w:line="500" w:lineRule="atLeast"/>
        <w:rPr>
          <w:rFonts w:ascii="宋体" w:hAnsi="宋体" w:eastAsia="宋体" w:cs="宋体"/>
          <w:sz w:val="24"/>
          <w:szCs w:val="24"/>
        </w:rPr>
      </w:pPr>
      <w:r>
        <w:rPr>
          <w:rFonts w:hint="eastAsia" w:ascii="宋体" w:hAnsi="宋体" w:eastAsia="宋体" w:cs="宋体"/>
          <w:b/>
          <w:bCs/>
          <w:sz w:val="24"/>
          <w:szCs w:val="24"/>
        </w:rPr>
        <w:t xml:space="preserve">第十九条</w:t>
      </w:r>
      <w:r>
        <w:rPr>
          <w:rFonts w:hint="eastAsia" w:ascii="宋体" w:hAnsi="宋体" w:eastAsia="宋体" w:cs="宋体"/>
          <w:sz w:val="24"/>
          <w:szCs w:val="24"/>
        </w:rPr>
        <w:t xml:space="preserve"> 本框架协议一式三份，具有同等法律效力，甲方一份，乙方一份，政采监管部门一份备案。</w:t>
      </w:r>
      <w:r/>
    </w:p>
    <w:p>
      <w:pPr>
        <w:ind w:firstLine="480"/>
        <w:spacing w:line="500" w:lineRule="atLeast"/>
        <w:rPr>
          <w:rFonts w:ascii="宋体" w:hAnsi="宋体" w:eastAsia="宋体" w:cs="宋体"/>
          <w:sz w:val="24"/>
          <w:szCs w:val="24"/>
        </w:rPr>
      </w:pPr>
      <w:r>
        <w:rPr>
          <w:rFonts w:hint="eastAsia" w:ascii="宋体" w:hAnsi="宋体" w:eastAsia="宋体" w:cs="宋体"/>
          <w:b/>
          <w:bCs/>
          <w:sz w:val="24"/>
          <w:szCs w:val="24"/>
        </w:rPr>
        <w:t xml:space="preserve">第二十条</w:t>
      </w:r>
      <w:r>
        <w:rPr>
          <w:rFonts w:hint="eastAsia" w:ascii="宋体" w:hAnsi="宋体" w:eastAsia="宋体" w:cs="宋体"/>
          <w:sz w:val="24"/>
          <w:szCs w:val="24"/>
        </w:rPr>
        <w:t xml:space="preserve"> 本框架协议经双方签字、盖章后立即生效。</w:t>
      </w:r>
      <w:r/>
    </w:p>
    <w:p>
      <w:pPr>
        <w:ind w:firstLine="480"/>
        <w:spacing w:line="500" w:lineRule="atLeast"/>
        <w:rPr>
          <w:rFonts w:ascii="宋体" w:hAnsi="宋体" w:eastAsia="宋体" w:cs="宋体"/>
          <w:sz w:val="24"/>
          <w:szCs w:val="24"/>
        </w:rPr>
      </w:pPr>
      <w:r>
        <w:rPr>
          <w:rFonts w:hint="eastAsia" w:ascii="宋体" w:hAnsi="宋体" w:eastAsia="宋体" w:cs="宋体"/>
          <w:b/>
          <w:bCs/>
          <w:sz w:val="24"/>
          <w:szCs w:val="24"/>
        </w:rPr>
        <w:t xml:space="preserve">第二十一条 </w:t>
      </w:r>
      <w:r>
        <w:rPr>
          <w:rFonts w:hint="eastAsia" w:ascii="宋体" w:hAnsi="宋体" w:eastAsia="宋体" w:cs="宋体"/>
          <w:sz w:val="24"/>
          <w:szCs w:val="24"/>
        </w:rPr>
        <w:t xml:space="preserve">本次采购活动中的征集文件、入围供应商的响应文件、有关澄清文件，为本框架协议不可分割的组成部分，具有与本框架协议同等的法律效力。</w:t>
      </w:r>
      <w:r/>
    </w:p>
    <w:p>
      <w:pPr>
        <w:ind w:firstLine="480"/>
        <w:spacing w:line="500" w:lineRule="atLeast"/>
        <w:rPr>
          <w:rFonts w:ascii="宋体" w:hAnsi="宋体" w:eastAsia="宋体" w:cs="宋体"/>
          <w:b/>
          <w:bCs/>
          <w:sz w:val="24"/>
          <w:szCs w:val="24"/>
        </w:rPr>
      </w:pPr>
      <w:r>
        <w:rPr>
          <w:rFonts w:hint="eastAsia" w:ascii="宋体" w:hAnsi="宋体" w:eastAsia="宋体" w:cs="宋体"/>
          <w:b/>
          <w:bCs/>
          <w:sz w:val="24"/>
          <w:szCs w:val="24"/>
        </w:rPr>
        <w:t xml:space="preserve">第二十二条</w:t>
      </w:r>
      <w:r/>
    </w:p>
    <w:p>
      <w:pPr>
        <w:ind w:firstLine="480"/>
        <w:spacing w:line="500" w:lineRule="atLeast"/>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本框架协议其他未尽事宜及与征集文件有矛盾之处，以征集文件（项目编号：</w:t>
      </w:r>
      <w:r>
        <w:rPr>
          <w:rFonts w:ascii="宋体" w:hAnsi="宋体" w:eastAsia="宋体" w:cs="宋体"/>
          <w:b/>
          <w:bCs/>
          <w:sz w:val="32"/>
          <w:szCs w:val="24"/>
        </w:rPr>
        <w:t xml:space="preserve"> </w:t>
      </w:r>
      <w:r>
        <w:rPr>
          <w:rFonts w:hint="eastAsia" w:ascii="宋体" w:hAnsi="宋体" w:eastAsia="宋体" w:cs="宋体"/>
          <w:sz w:val="24"/>
          <w:szCs w:val="24"/>
        </w:rPr>
        <w:t xml:space="preserve">）为准。</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甲方（单位盖章）：                   乙方（单位盖章）：</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法定代表人（签字或盖章）：           法定代表人：（签字或盖章）</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地址：                               地址：</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联系电话：                           联系电话：</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年    月   日                       年   月   日</w:t>
      </w:r>
      <w:bookmarkEnd w:id="181"/>
      <w:r/>
      <w:bookmarkEnd w:id="182"/>
      <w:r/>
      <w:bookmarkEnd w:id="183"/>
      <w:r/>
      <w:r/>
    </w:p>
    <w:p>
      <w:pPr>
        <w:jc w:val="center"/>
        <w:spacing w:line="500" w:lineRule="atLeast"/>
        <w:rPr>
          <w:rFonts w:ascii="宋体" w:hAnsi="宋体" w:eastAsia="宋体" w:cs="Times New Roman"/>
          <w:sz w:val="24"/>
          <w:szCs w:val="24"/>
        </w:rPr>
      </w:pPr>
      <w:r>
        <w:rPr>
          <w:rFonts w:ascii="Calibri" w:hAnsi="宋体" w:eastAsia="宋体" w:cs="Times New Roman"/>
          <w:sz w:val="24"/>
          <w:szCs w:val="24"/>
        </w:rPr>
        <w:br w:type="page" w:clear="all"/>
      </w:r>
      <w:r>
        <w:rPr>
          <w:rFonts w:hint="eastAsia" w:ascii="黑体" w:hAnsi="Calibri" w:eastAsia="黑体" w:cs="Times New Roman"/>
          <w:bCs/>
          <w:sz w:val="30"/>
          <w:szCs w:val="30"/>
        </w:rPr>
        <w:t xml:space="preserve">采购合同文本</w:t>
      </w:r>
      <w:r/>
    </w:p>
    <w:p>
      <w:pPr>
        <w:rPr>
          <w:rFonts w:ascii="Times New Roman" w:hAnsi="宋体" w:eastAsia="宋体" w:cs="Times New Roman"/>
          <w:sz w:val="24"/>
          <w:szCs w:val="24"/>
        </w:rPr>
      </w:pPr>
      <w:r>
        <w:rPr>
          <w:rFonts w:ascii="Times New Roman" w:hAnsi="宋体" w:eastAsia="宋体" w:cs="Times New Roman"/>
          <w:sz w:val="24"/>
          <w:szCs w:val="24"/>
        </w:rPr>
      </w:r>
      <w:r/>
    </w:p>
    <w:p>
      <w:pPr>
        <w:ind w:firstLine="480"/>
        <w:spacing w:line="360" w:lineRule="auto"/>
        <w:rPr>
          <w:rFonts w:ascii="宋体" w:hAnsi="宋体" w:eastAsia="宋体" w:cs="宋体"/>
          <w:sz w:val="24"/>
          <w:szCs w:val="20"/>
        </w:rPr>
      </w:pPr>
      <w:r>
        <w:rPr>
          <w:rFonts w:hint="eastAsia" w:ascii="宋体" w:hAnsi="宋体" w:eastAsia="宋体" w:cs="宋体"/>
          <w:sz w:val="24"/>
          <w:szCs w:val="24"/>
        </w:rPr>
        <w:t xml:space="preserve">本项目的采购合同文本即具有合同性质的凭单、订单。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需方（用车单位）：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供方（供应商）：                         </w:t>
      </w:r>
      <w:r/>
    </w:p>
    <w:p>
      <w:pPr>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一、用车内容：（填写于下方表格）</w:t>
      </w:r>
      <w:r/>
    </w:p>
    <w:tbl>
      <w:tblPr>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9"/>
        <w:gridCol w:w="912"/>
        <w:gridCol w:w="305"/>
        <w:gridCol w:w="541"/>
        <w:gridCol w:w="805"/>
        <w:gridCol w:w="885"/>
        <w:gridCol w:w="435"/>
        <w:gridCol w:w="418"/>
        <w:gridCol w:w="602"/>
        <w:gridCol w:w="181"/>
        <w:gridCol w:w="751"/>
        <w:gridCol w:w="32"/>
        <w:gridCol w:w="963"/>
        <w:gridCol w:w="1023"/>
      </w:tblGrid>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用车单位</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用车人</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用车人电话</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r>
        <w:trPr>
          <w:jc w:val="center"/>
          <w:trHeight w:val="636"/>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用车事由</w:t>
            </w:r>
            <w:r/>
          </w:p>
        </w:tc>
        <w:tc>
          <w:tcPr>
            <w:gridSpan w:val="6"/>
            <w:shd w:val="clear" w:color="auto" w:fill="auto"/>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用车时间</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r>
        <w:trPr>
          <w:jc w:val="center"/>
          <w:trHeight w:val="86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报到地点</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目的地点</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保障</w:t>
            </w:r>
            <w:r/>
          </w:p>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类型</w:t>
            </w:r>
            <w:r/>
          </w:p>
        </w:tc>
        <w:tc>
          <w:tcPr>
            <w:gridSpan w:val="2"/>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用车</w:t>
            </w:r>
            <w:r/>
          </w:p>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服务车型</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服务</w:t>
            </w:r>
            <w:r/>
          </w:p>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车牌号</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驾驶员或</w:t>
            </w:r>
            <w:r/>
          </w:p>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代驾人员</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spacing w:line="360" w:lineRule="auto"/>
              <w:rPr>
                <w:rFonts w:ascii="宋体" w:hAnsi="宋体" w:eastAsia="宋体" w:cs="Times New Roman"/>
                <w:sz w:val="24"/>
                <w:szCs w:val="24"/>
              </w:rPr>
            </w:pPr>
            <w:r>
              <w:rPr>
                <w:rFonts w:ascii="宋体" w:hAnsi="宋体" w:eastAsia="宋体" w:cs="Times New Roman"/>
                <w:sz w:val="24"/>
                <w:szCs w:val="24"/>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出场里程（Km）</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回场里程（Km）</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服务里程   （Km）</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出发时间</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结束时间</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服务时长    （小时）</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eastAsia="宋体" w:cs="Times New Roman"/>
                <w:sz w:val="24"/>
                <w:szCs w:val="24"/>
              </w:rPr>
            </w:pPr>
            <w:r/>
            <w:bookmarkStart w:id="193" w:name="OLE_LINK19"/>
            <w:r>
              <w:rPr>
                <w:rFonts w:hint="eastAsia" w:ascii="宋体" w:hAnsi="宋体" w:cs="宋体"/>
                <w:sz w:val="24"/>
              </w:rPr>
              <w:t xml:space="preserve">半日租/日租费用</w:t>
            </w:r>
            <w:bookmarkEnd w:id="193"/>
            <w:r>
              <w:rPr>
                <w:rFonts w:hint="eastAsia" w:ascii="宋体" w:hAnsi="宋体" w:eastAsia="宋体" w:cs="Times New Roman"/>
                <w:sz w:val="24"/>
                <w:szCs w:val="24"/>
              </w:rPr>
              <w:t xml:space="preserve">（元）</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超公里  费用    （元）</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超时  费用（元）</w:t>
            </w:r>
            <w:r/>
          </w:p>
        </w:tc>
        <w:tc>
          <w:tcPr>
            <w:gridSpan w:val="2"/>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停车费（元）</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cs="宋体"/>
                <w:sz w:val="24"/>
              </w:rPr>
            </w:pPr>
            <w:r>
              <w:rPr>
                <w:rFonts w:ascii="宋体" w:hAnsi="宋体" w:eastAsia="宋体" w:cs="Times New Roman"/>
                <w:sz w:val="24"/>
                <w:szCs w:val="24"/>
              </w:rPr>
              <w:t xml:space="preserve">网约车</w:t>
            </w:r>
            <w:r>
              <w:rPr>
                <w:rFonts w:hint="eastAsia" w:ascii="宋体" w:hAnsi="宋体" w:cs="宋体"/>
                <w:sz w:val="24"/>
              </w:rPr>
              <w:t xml:space="preserve">时长费</w:t>
            </w:r>
            <w:bookmarkStart w:id="194" w:name="OLE_LINK22"/>
            <w:r/>
            <w:bookmarkStart w:id="195" w:name="OLE_LINK23"/>
            <w:r>
              <w:rPr>
                <w:rFonts w:hint="eastAsia" w:ascii="宋体" w:hAnsi="宋体" w:cs="宋体"/>
                <w:sz w:val="24"/>
              </w:rPr>
              <w:t xml:space="preserve">（元）</w:t>
            </w:r>
            <w:bookmarkEnd w:id="194"/>
            <w:r/>
            <w:bookmarkEnd w:id="195"/>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spacing w:line="360" w:lineRule="auto"/>
              <w:rPr>
                <w:rFonts w:ascii="宋体" w:hAnsi="宋体" w:cs="宋体"/>
                <w:sz w:val="24"/>
              </w:rPr>
            </w:pPr>
            <w:r>
              <w:rPr>
                <w:rFonts w:ascii="宋体" w:hAnsi="宋体" w:eastAsia="宋体" w:cs="Times New Roman"/>
                <w:sz w:val="24"/>
                <w:szCs w:val="24"/>
              </w:rPr>
              <w:t xml:space="preserve">网约车</w:t>
            </w:r>
            <w:r>
              <w:rPr>
                <w:rFonts w:hint="eastAsia" w:ascii="宋体" w:hAnsi="宋体" w:cs="宋体"/>
                <w:sz w:val="24"/>
              </w:rPr>
              <w:t xml:space="preserve">里程费（元）</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cs="宋体"/>
                <w:sz w:val="24"/>
              </w:rPr>
            </w:pPr>
            <w:r>
              <w:rPr>
                <w:rFonts w:ascii="宋体" w:hAnsi="宋体" w:eastAsia="宋体" w:cs="Times New Roman"/>
                <w:sz w:val="24"/>
                <w:szCs w:val="24"/>
              </w:rPr>
              <w:t xml:space="preserve">网约车</w:t>
            </w:r>
            <w:r>
              <w:rPr>
                <w:rFonts w:hint="eastAsia" w:ascii="宋体" w:hAnsi="宋体" w:cs="宋体"/>
                <w:sz w:val="24"/>
              </w:rPr>
              <w:t xml:space="preserve">空驶</w:t>
            </w:r>
            <w:bookmarkStart w:id="196" w:name="OLE_LINK25"/>
            <w:r/>
            <w:bookmarkStart w:id="197" w:name="OLE_LINK24"/>
            <w:r>
              <w:rPr>
                <w:rFonts w:hint="eastAsia" w:ascii="宋体" w:hAnsi="宋体" w:cs="宋体"/>
                <w:sz w:val="24"/>
              </w:rPr>
              <w:t xml:space="preserve">费</w:t>
            </w:r>
            <w:bookmarkEnd w:id="196"/>
            <w:r/>
            <w:bookmarkEnd w:id="197"/>
            <w:r>
              <w:rPr>
                <w:rFonts w:hint="eastAsia" w:ascii="宋体" w:hAnsi="宋体" w:cs="宋体"/>
                <w:sz w:val="24"/>
              </w:rPr>
              <w:t xml:space="preserve">（元）</w:t>
            </w:r>
            <w:r/>
          </w:p>
        </w:tc>
        <w:tc>
          <w:tcPr>
            <w:gridSpan w:val="5"/>
            <w:shd w:val="clear" w:color="auto" w:fill="auto"/>
            <w:tcBorders>
              <w:top w:val="single" w:color="auto" w:sz="4" w:space="0"/>
              <w:left w:val="single" w:color="auto" w:sz="4" w:space="0"/>
              <w:bottom w:val="single" w:color="auto" w:sz="4" w:space="0"/>
              <w:right w:val="single" w:color="auto" w:sz="4" w:space="0"/>
            </w:tcBorders>
            <w:tcW w:w="2950"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过桥过路费（元）</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住宿费（元）</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租赁车辆代驾劳务费（元）</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r>
        <w:trPr>
          <w:jc w:val="center"/>
          <w:trHeight w:val="71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总费用（元）</w:t>
            </w:r>
            <w:r/>
          </w:p>
        </w:tc>
        <w:tc>
          <w:tcPr>
            <w:gridSpan w:val="13"/>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服务意见反馈</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优</w:t>
            </w:r>
            <w:r/>
          </w:p>
        </w:tc>
        <w:tc>
          <w:tcPr>
            <w:gridSpan w:val="2"/>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良</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合格</w:t>
            </w:r>
            <w:r/>
          </w:p>
        </w:tc>
        <w:tc>
          <w:tcPr>
            <w:gridSpan w:val="2"/>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不合格</w:t>
            </w:r>
            <w:r/>
          </w:p>
        </w:tc>
        <w:tc>
          <w:tcPr>
            <w:shd w:val="clear" w:color="auto" w:fill="auto"/>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在对应处打“√”</w:t>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用车人  签字</w:t>
            </w:r>
            <w:r/>
          </w:p>
        </w:tc>
        <w:tc>
          <w:tcPr>
            <w:gridSpan w:val="6"/>
            <w:shd w:val="clear" w:color="auto" w:fill="auto"/>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驾驶员</w:t>
            </w:r>
            <w:r>
              <w:rPr>
                <w:rFonts w:ascii="宋体" w:hAnsi="宋体" w:eastAsia="宋体" w:cs="Times New Roman"/>
                <w:sz w:val="24"/>
                <w:szCs w:val="24"/>
              </w:rPr>
              <w:t xml:space="preserve">或代驾人员</w:t>
            </w:r>
            <w:r/>
          </w:p>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签字</w:t>
            </w:r>
            <w:r/>
          </w:p>
        </w:tc>
        <w:tc>
          <w:tcPr>
            <w:gridSpan w:val="5"/>
            <w:shd w:val="clear" w:color="auto" w:fill="auto"/>
            <w:tcBorders>
              <w:top w:val="single" w:color="auto" w:sz="4" w:space="0"/>
              <w:left w:val="single" w:color="auto" w:sz="4" w:space="0"/>
              <w:bottom w:val="single" w:color="auto" w:sz="4" w:space="0"/>
              <w:right w:val="single" w:color="auto" w:sz="4" w:space="0"/>
            </w:tcBorders>
            <w:tcW w:w="2950" w:type="dxa"/>
            <w:vAlign w:val="center"/>
            <w:textDirection w:val="lrTb"/>
            <w:noWrap w:val="false"/>
          </w:tcPr>
          <w:p>
            <w:pPr>
              <w:spacing w:line="360" w:lineRule="auto"/>
              <w:rPr>
                <w:rFonts w:ascii="宋体" w:hAnsi="宋体" w:eastAsia="宋体" w:cs="Times New Roman"/>
                <w:sz w:val="24"/>
                <w:szCs w:val="24"/>
              </w:rPr>
            </w:pPr>
            <w:r>
              <w:rPr>
                <w:rFonts w:ascii="宋体" w:hAnsi="宋体" w:eastAsia="宋体" w:cs="Times New Roman"/>
                <w:sz w:val="24"/>
                <w:szCs w:val="24"/>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备注</w:t>
            </w:r>
            <w:r/>
          </w:p>
        </w:tc>
        <w:tc>
          <w:tcPr>
            <w:gridSpan w:val="13"/>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spacing w:line="360" w:lineRule="auto"/>
              <w:rPr>
                <w:rFonts w:ascii="宋体" w:hAnsi="宋体" w:eastAsia="宋体" w:cs="Times New Roman"/>
                <w:sz w:val="24"/>
                <w:szCs w:val="24"/>
              </w:rPr>
            </w:pPr>
            <w:r/>
            <w:bookmarkStart w:id="198" w:name="OLE_LINK1"/>
            <w:r>
              <w:rPr>
                <w:rFonts w:hint="eastAsia" w:ascii="宋体" w:hAnsi="宋体" w:eastAsia="宋体" w:cs="Times New Roman"/>
                <w:sz w:val="24"/>
                <w:szCs w:val="24"/>
              </w:rPr>
              <w:t xml:space="preserve">1</w:t>
            </w:r>
            <w:r>
              <w:rPr>
                <w:rFonts w:ascii="宋体" w:hAnsi="宋体" w:eastAsia="宋体" w:cs="Times New Roman"/>
                <w:sz w:val="24"/>
                <w:szCs w:val="24"/>
              </w:rPr>
              <w:t xml:space="preserve">.凭轨迹图报销</w:t>
            </w:r>
            <w:r>
              <w:rPr>
                <w:rFonts w:hint="eastAsia" w:ascii="宋体" w:hAnsi="宋体" w:eastAsia="宋体" w:cs="Times New Roman"/>
                <w:sz w:val="24"/>
                <w:szCs w:val="24"/>
              </w:rPr>
              <w:t xml:space="preserve">（</w:t>
            </w:r>
            <w:r>
              <w:rPr>
                <w:rFonts w:ascii="宋体" w:hAnsi="宋体" w:eastAsia="宋体" w:cs="Times New Roman"/>
                <w:sz w:val="24"/>
                <w:szCs w:val="24"/>
              </w:rPr>
              <w:t xml:space="preserve">含起始结束时间、以及总里程数</w:t>
            </w:r>
            <w:r>
              <w:rPr>
                <w:rFonts w:hint="eastAsia" w:ascii="宋体" w:hAnsi="宋体" w:eastAsia="宋体" w:cs="Times New Roman"/>
                <w:sz w:val="24"/>
                <w:szCs w:val="24"/>
              </w:rPr>
              <w:t xml:space="preserve">），</w:t>
            </w:r>
            <w:r>
              <w:rPr>
                <w:rFonts w:hint="eastAsia" w:ascii="宋体" w:hAnsi="宋体" w:cs="宋体"/>
                <w:sz w:val="24"/>
                <w:szCs w:val="24"/>
              </w:rPr>
              <w:t xml:space="preserve">超时超公里不得重复加收费用</w:t>
            </w:r>
            <w:r>
              <w:rPr>
                <w:rFonts w:ascii="宋体" w:hAnsi="宋体" w:eastAsia="宋体" w:cs="Times New Roman"/>
                <w:sz w:val="24"/>
                <w:szCs w:val="24"/>
              </w:rPr>
              <w:t xml:space="preserve">。</w:t>
            </w:r>
            <w:r/>
          </w:p>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.请各单位出行前根据实际情况选择出行方式</w:t>
            </w:r>
            <w:r>
              <w:rPr>
                <w:rFonts w:hint="eastAsia" w:ascii="宋体" w:hAnsi="宋体" w:eastAsia="宋体" w:cs="Times New Roman"/>
                <w:sz w:val="24"/>
                <w:szCs w:val="24"/>
              </w:rPr>
              <w:t xml:space="preserve">。</w:t>
            </w:r>
            <w:r/>
          </w:p>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.用车单位不</w:t>
            </w:r>
            <w:r>
              <w:rPr>
                <w:rFonts w:hint="eastAsia" w:ascii="宋体" w:hAnsi="宋体" w:eastAsia="宋体" w:cs="Times New Roman"/>
                <w:sz w:val="24"/>
                <w:szCs w:val="24"/>
              </w:rPr>
              <w:t xml:space="preserve">承担</w:t>
            </w:r>
            <w:r>
              <w:rPr>
                <w:rFonts w:ascii="宋体" w:hAnsi="宋体" w:eastAsia="宋体" w:cs="Times New Roman"/>
                <w:sz w:val="24"/>
                <w:szCs w:val="24"/>
              </w:rPr>
              <w:t xml:space="preserve">网约车司机的住宿费，网约车等待期间不得参与其他</w:t>
            </w:r>
            <w:r>
              <w:rPr>
                <w:rFonts w:hint="eastAsia" w:ascii="宋体" w:hAnsi="宋体" w:eastAsia="宋体" w:cs="Times New Roman"/>
                <w:sz w:val="24"/>
                <w:szCs w:val="24"/>
              </w:rPr>
              <w:t xml:space="preserve">经营</w:t>
            </w:r>
            <w:r>
              <w:rPr>
                <w:rFonts w:ascii="宋体" w:hAnsi="宋体" w:eastAsia="宋体" w:cs="Times New Roman"/>
                <w:sz w:val="24"/>
                <w:szCs w:val="24"/>
              </w:rPr>
              <w:t xml:space="preserve">活动。将用车人送至目的地后如果不跟随用车人，则收取回程空驶费。</w:t>
            </w:r>
            <w:r>
              <w:rPr>
                <w:rFonts w:hint="eastAsia" w:ascii="宋体" w:hAnsi="宋体" w:eastAsia="宋体" w:cs="Times New Roman"/>
                <w:sz w:val="24"/>
                <w:szCs w:val="24"/>
              </w:rPr>
              <w:t xml:space="preserve"> </w:t>
            </w:r>
            <w:r/>
          </w:p>
          <w:p>
            <w:pPr>
              <w:spacing w:line="360" w:lineRule="auto"/>
              <w:rPr>
                <w:rFonts w:ascii="宋体" w:hAnsi="宋体" w:eastAsia="宋体" w:cs="Times New Roman"/>
                <w:sz w:val="24"/>
                <w:szCs w:val="24"/>
              </w:rPr>
            </w:pPr>
            <w:r>
              <w:rPr>
                <w:rFonts w:ascii="宋体" w:hAnsi="宋体" w:eastAsia="宋体" w:cs="Times New Roman"/>
                <w:sz w:val="24"/>
                <w:szCs w:val="24"/>
              </w:rPr>
              <w:t xml:space="preserve">4.请各单位出发前仔细对照所用车辆的车牌号，务必与市机关事务管理局发出的短信中车牌号核对一致，确保用车安全。</w:t>
            </w:r>
            <w:r/>
          </w:p>
          <w:p>
            <w:pPr>
              <w:spacing w:line="360" w:lineRule="auto"/>
              <w:rPr>
                <w:rFonts w:ascii="宋体" w:hAnsi="宋体" w:eastAsia="宋体" w:cs="宋体"/>
                <w:color w:val="000000"/>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.租用</w:t>
            </w:r>
            <w:r>
              <w:rPr>
                <w:rFonts w:hint="eastAsia" w:ascii="宋体" w:hAnsi="宋体" w:eastAsia="宋体" w:cs="宋体"/>
                <w:color w:val="000000"/>
                <w:sz w:val="24"/>
                <w:szCs w:val="24"/>
              </w:rPr>
              <w:t xml:space="preserve">采购包1（租赁性质）车辆要按照出租企业与第三方代驾公司协议计算司机劳务费且必须直接支付给第三方代驾公司。</w:t>
            </w:r>
            <w:r/>
          </w:p>
          <w:p>
            <w:pPr>
              <w:spacing w:line="360" w:lineRule="auto"/>
              <w:rPr>
                <w:rFonts w:ascii="宋体" w:hAnsi="宋体" w:eastAsia="宋体" w:cs="Times New Roman"/>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t xml:space="preserve">.市机关事务管理局咨询投诉电话：</w:t>
            </w:r>
            <w:r>
              <w:rPr>
                <w:rFonts w:hint="eastAsia" w:ascii="宋体" w:hAnsi="宋体" w:eastAsia="宋体" w:cs="宋体"/>
                <w:color w:val="000000"/>
                <w:sz w:val="24"/>
                <w:szCs w:val="24"/>
              </w:rPr>
              <w:t xml:space="preserve">0</w:t>
            </w:r>
            <w:r>
              <w:rPr>
                <w:rFonts w:ascii="宋体" w:hAnsi="宋体" w:eastAsia="宋体" w:cs="宋体"/>
                <w:color w:val="000000"/>
                <w:sz w:val="24"/>
                <w:szCs w:val="24"/>
              </w:rPr>
              <w:t xml:space="preserve">515-86662402</w:t>
            </w:r>
            <w:bookmarkEnd w:id="198"/>
            <w:r>
              <w:rPr>
                <w:rFonts w:hint="eastAsia" w:ascii="宋体" w:hAnsi="宋体" w:eastAsia="宋体" w:cs="宋体"/>
                <w:color w:val="000000"/>
                <w:sz w:val="24"/>
                <w:szCs w:val="24"/>
              </w:rPr>
              <w:t xml:space="preserve">。</w:t>
            </w:r>
            <w:r/>
          </w:p>
        </w:tc>
      </w:tr>
    </w:tbl>
    <w:p>
      <w:pPr>
        <w:ind w:firstLine="482"/>
        <w:spacing w:line="360" w:lineRule="auto"/>
        <w:rPr>
          <w:rFonts w:ascii="宋体" w:hAnsi="宋体" w:eastAsia="宋体" w:cs="宋体"/>
          <w:b/>
          <w:bCs/>
          <w:sz w:val="24"/>
          <w:szCs w:val="20"/>
        </w:rPr>
      </w:pPr>
      <w:r>
        <w:rPr>
          <w:rFonts w:hint="eastAsia" w:ascii="宋体" w:hAnsi="宋体" w:eastAsia="宋体" w:cs="宋体"/>
          <w:b/>
          <w:bCs/>
          <w:sz w:val="24"/>
          <w:szCs w:val="24"/>
        </w:rPr>
        <w:t xml:space="preserve">二、合同不可分割部分：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征集文件、响应文件、框架协议及入围通知书，供应商在报价、评审过程中所作其它有关承诺、声明、书面澄清等均为合同不可分割的部分，与主合同具有同等法律效力。</w:t>
      </w:r>
      <w:r/>
    </w:p>
    <w:p>
      <w:pPr>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三、</w:t>
      </w:r>
      <w:r>
        <w:rPr>
          <w:rFonts w:hint="eastAsia" w:ascii="宋体" w:hAnsi="宋体" w:eastAsia="宋体" w:cs="宋体"/>
          <w:sz w:val="24"/>
          <w:szCs w:val="24"/>
        </w:rPr>
        <w:t xml:space="preserve">供需双方如有其他要求，可参照征集文件，响应文件（采购人不得向供应商提出超出征集文件以外的任何要求作为签订合同的条件），不得与供应商订立背离征集文件确定的合同文本以及采购项目、服务要求等实质性内容的协议) ，并在不违反框架协议内容的前提下，供需双方自行拟定补充条款。</w:t>
      </w:r>
      <w:r/>
    </w:p>
    <w:p>
      <w:pPr>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四、</w:t>
      </w:r>
      <w:r>
        <w:rPr>
          <w:rFonts w:hint="eastAsia" w:ascii="宋体" w:hAnsi="宋体" w:eastAsia="宋体" w:cs="宋体"/>
          <w:sz w:val="24"/>
          <w:szCs w:val="24"/>
        </w:rPr>
        <w:t xml:space="preserve">根据《政府采购法》相关规定，供需双方不得擅自变更、中止或终止合同。</w:t>
      </w:r>
      <w:r/>
    </w:p>
    <w:p>
      <w:pPr>
        <w:spacing w:line="440" w:lineRule="exact"/>
        <w:rPr>
          <w:rFonts w:ascii="宋体" w:hAnsi="宋体" w:eastAsia="宋体" w:cs="Times New Roman"/>
          <w:bCs/>
          <w:sz w:val="24"/>
          <w:szCs w:val="24"/>
        </w:rPr>
      </w:pPr>
      <w:r>
        <w:rPr>
          <w:rFonts w:ascii="宋体" w:hAnsi="宋体" w:eastAsia="宋体" w:cs="Times New Roman"/>
          <w:bCs/>
          <w:sz w:val="24"/>
          <w:szCs w:val="24"/>
        </w:rPr>
      </w:r>
      <w:r/>
    </w:p>
    <w:p>
      <w:pPr>
        <w:spacing w:line="360" w:lineRule="auto"/>
        <w:rPr>
          <w:rFonts w:ascii="宋体" w:hAnsi="宋体" w:eastAsia="宋体" w:cs="Times New Roman"/>
          <w:bCs/>
          <w:sz w:val="24"/>
          <w:szCs w:val="24"/>
        </w:rPr>
      </w:pPr>
      <w:r>
        <w:rPr>
          <w:rFonts w:ascii="宋体" w:hAnsi="宋体" w:eastAsia="宋体" w:cs="Times New Roman"/>
          <w:bCs/>
          <w:sz w:val="24"/>
          <w:szCs w:val="24"/>
        </w:rPr>
      </w:r>
      <w:r/>
    </w:p>
    <w:p>
      <w:pPr>
        <w:spacing w:line="360" w:lineRule="auto"/>
        <w:rPr>
          <w:rFonts w:ascii="宋体" w:hAnsi="宋体" w:eastAsia="宋体" w:cs="Times New Roman"/>
          <w:bCs/>
          <w:sz w:val="24"/>
          <w:szCs w:val="24"/>
          <w:u w:val="single"/>
        </w:rPr>
      </w:pPr>
      <w:r>
        <w:rPr>
          <w:rFonts w:hint="eastAsia" w:ascii="宋体" w:hAnsi="宋体" w:eastAsia="宋体" w:cs="Times New Roman"/>
          <w:bCs/>
          <w:sz w:val="24"/>
          <w:szCs w:val="24"/>
        </w:rPr>
        <w:t xml:space="preserve">需方（</w:t>
      </w:r>
      <w:r>
        <w:rPr>
          <w:rFonts w:hint="eastAsia" w:ascii="宋体" w:hAnsi="宋体" w:eastAsia="宋体" w:cs="宋体"/>
          <w:sz w:val="24"/>
          <w:szCs w:val="24"/>
        </w:rPr>
        <w:t xml:space="preserve">用车单位</w:t>
      </w:r>
      <w:r>
        <w:rPr>
          <w:rFonts w:hint="eastAsia" w:ascii="宋体" w:hAnsi="宋体" w:eastAsia="宋体" w:cs="Times New Roman"/>
          <w:bCs/>
          <w:sz w:val="24"/>
          <w:szCs w:val="24"/>
        </w:rPr>
        <w:t xml:space="preserve">）：</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   供方（供应商）：</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p>
      <w:pPr>
        <w:ind w:firstLine="1200"/>
        <w:spacing w:line="360" w:lineRule="auto"/>
        <w:rPr>
          <w:rFonts w:ascii="宋体" w:hAnsi="宋体" w:eastAsia="宋体" w:cs="Times New Roman"/>
          <w:bCs/>
          <w:sz w:val="24"/>
          <w:szCs w:val="24"/>
          <w:u w:val="single"/>
        </w:rPr>
      </w:pPr>
      <w:r>
        <w:rPr>
          <w:rFonts w:ascii="宋体" w:hAnsi="宋体" w:eastAsia="宋体" w:cs="Times New Roman"/>
          <w:bCs/>
          <w:sz w:val="24"/>
          <w:szCs w:val="24"/>
          <w:u w:val="single"/>
        </w:rPr>
      </w:r>
      <w:r/>
    </w:p>
    <w:p>
      <w:pPr>
        <w:ind w:firstLine="1200"/>
        <w:spacing w:line="360" w:lineRule="auto"/>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p>
      <w:pPr>
        <w:jc w:val="center"/>
        <w:rPr>
          <w:rFonts w:ascii="方正小标宋_GBK" w:hAnsi="方正小标宋_GBK" w:eastAsia="方正小标宋_GBK" w:cs="方正小标宋_GBK"/>
          <w:color w:val="000000"/>
          <w:sz w:val="40"/>
          <w:szCs w:val="40"/>
        </w:rPr>
        <w:outlineLvl w:val="0"/>
      </w:pPr>
      <w:r>
        <w:rPr>
          <w:rFonts w:ascii="宋体" w:hAnsi="宋体" w:eastAsia="宋体" w:cs="Times New Roman"/>
          <w:bCs/>
          <w:sz w:val="44"/>
          <w:szCs w:val="28"/>
        </w:rPr>
        <w:br w:type="page" w:clear="all"/>
      </w:r>
      <w:r>
        <w:rPr>
          <w:rFonts w:hint="eastAsia" w:ascii="方正小标宋_GBK" w:hAnsi="方正小标宋_GBK" w:eastAsia="方正小标宋_GBK" w:cs="方正小标宋_GBK"/>
          <w:color w:val="000000"/>
          <w:sz w:val="40"/>
          <w:szCs w:val="40"/>
        </w:rPr>
        <w:t xml:space="preserve">第四章 采购需求</w:t>
      </w:r>
      <w:bookmarkEnd w:id="184"/>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atLeast"/>
        <w:rPr>
          <w:rFonts w:ascii="宋体" w:hAnsi="宋体" w:eastAsia="宋体" w:cs="Times New Roman"/>
          <w:sz w:val="24"/>
          <w:szCs w:val="24"/>
        </w:rPr>
      </w:pPr>
      <w:r>
        <w:rPr>
          <w:rFonts w:hint="eastAsia" w:ascii="宋体" w:hAnsi="宋体" w:eastAsia="宋体" w:cs="Times New Roman"/>
          <w:sz w:val="24"/>
          <w:szCs w:val="24"/>
        </w:rPr>
        <w:t xml:space="preserve">（一）采购需求：</w:t>
      </w:r>
      <w:r/>
    </w:p>
    <w:p>
      <w:pPr>
        <w:ind w:firstLine="480"/>
        <w:spacing w:line="500" w:lineRule="atLeast"/>
        <w:rPr>
          <w:rFonts w:ascii="宋体" w:hAnsi="宋体" w:eastAsia="宋体" w:cs="宋体"/>
          <w:b/>
          <w:bCs/>
          <w:sz w:val="24"/>
          <w:szCs w:val="24"/>
        </w:rPr>
      </w:pPr>
      <w:r>
        <w:rPr>
          <w:rFonts w:hint="eastAsia" w:ascii="宋体" w:hAnsi="宋体" w:eastAsia="宋体" w:cs="宋体"/>
          <w:b/>
          <w:bCs/>
          <w:sz w:val="24"/>
          <w:szCs w:val="24"/>
        </w:rPr>
        <w:t xml:space="preserve">1.项目概况</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1.1 项目名称：2026-2027年度盐城市本级公务用车出租客运服务框架协议采购项目</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1.2 框架协议的期限：202</w:t>
      </w:r>
      <w:r>
        <w:rPr>
          <w:rFonts w:ascii="宋体" w:hAnsi="宋体" w:eastAsia="宋体" w:cs="宋体"/>
          <w:sz w:val="24"/>
          <w:szCs w:val="20"/>
        </w:rPr>
        <w:t xml:space="preserve">6</w:t>
      </w:r>
      <w:r>
        <w:rPr>
          <w:rFonts w:hint="eastAsia" w:ascii="宋体" w:hAnsi="宋体" w:eastAsia="宋体" w:cs="宋体"/>
          <w:sz w:val="24"/>
          <w:szCs w:val="20"/>
        </w:rPr>
        <w:t xml:space="preserve">年1月1日至202</w:t>
      </w:r>
      <w:r>
        <w:rPr>
          <w:rFonts w:ascii="宋体" w:hAnsi="宋体" w:eastAsia="宋体" w:cs="宋体"/>
          <w:sz w:val="24"/>
          <w:szCs w:val="20"/>
        </w:rPr>
        <w:t xml:space="preserve">7</w:t>
      </w:r>
      <w:r>
        <w:rPr>
          <w:rFonts w:hint="eastAsia" w:ascii="宋体" w:hAnsi="宋体" w:eastAsia="宋体" w:cs="宋体"/>
          <w:sz w:val="24"/>
          <w:szCs w:val="20"/>
        </w:rPr>
        <w:t xml:space="preserve">年12月31日（本项目框架协议的期限暂定为2年）。</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1.3 采购方式：封闭式框架协议采购</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1.4 征集人：盐城市机关事务管理局</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1.5 适用框架协议的采购人或服务对象范围：盐城市市本级党政机关、事业单位及团体组织。</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1.6 采购标段的划分：本框架协议采购项目分为</w:t>
      </w:r>
      <w:r>
        <w:rPr>
          <w:rFonts w:hint="eastAsia" w:ascii="宋体" w:hAnsi="宋体" w:eastAsia="宋体" w:cs="宋体"/>
          <w:sz w:val="24"/>
          <w:szCs w:val="24"/>
        </w:rPr>
        <w:t xml:space="preserve">包一、包二、包三、包四，四个标段</w:t>
      </w:r>
      <w:r>
        <w:rPr>
          <w:rFonts w:hint="eastAsia" w:ascii="宋体" w:hAnsi="宋体" w:eastAsia="宋体" w:cs="宋体"/>
          <w:sz w:val="24"/>
          <w:szCs w:val="20"/>
        </w:rPr>
        <w:t xml:space="preserve">。</w:t>
      </w:r>
      <w:r/>
    </w:p>
    <w:p>
      <w:pPr>
        <w:ind w:firstLine="480"/>
        <w:spacing w:line="500" w:lineRule="atLeast"/>
        <w:rPr>
          <w:rFonts w:ascii="宋体" w:hAnsi="宋体" w:eastAsia="宋体" w:cs="宋体"/>
          <w:sz w:val="24"/>
          <w:szCs w:val="20"/>
        </w:rPr>
      </w:pPr>
      <w:r>
        <w:rPr>
          <w:rFonts w:hint="eastAsia" w:ascii="宋体" w:hAnsi="宋体" w:eastAsia="宋体" w:cs="宋体"/>
          <w:sz w:val="24"/>
          <w:szCs w:val="20"/>
        </w:rPr>
        <w:t xml:space="preserve">包一（租赁性质）：供应商应当到所在地交通运输主管部门办理备案手续，取得有效的小微型客车租赁备案证明（或许可证）。</w:t>
      </w:r>
      <w:r/>
    </w:p>
    <w:p>
      <w:pPr>
        <w:ind w:firstLine="72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包二（网约车）：供应商具有合法有效的行业主管部门核发的《网络预约出租汽车经营许可证》，且车辆应当持有相应的《道路运输证》；驾驶员应取得相应的《从业资格证》，且无犯罪记录。</w:t>
      </w:r>
      <w:r/>
    </w:p>
    <w:p>
      <w:pPr>
        <w:ind w:firstLine="72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包三（市际及以上）：供应商具有合法有效的道路运输经营许可证，且道路运输经营许可证经营范围须包含市际及以上</w:t>
      </w:r>
      <w:r>
        <w:rPr>
          <w:rFonts w:ascii="宋体" w:hAnsi="宋体" w:eastAsia="宋体" w:cs="宋体"/>
          <w:sz w:val="24"/>
          <w:szCs w:val="20"/>
        </w:rPr>
        <w:t xml:space="preserve">包车客运</w:t>
      </w:r>
      <w:r>
        <w:rPr>
          <w:rFonts w:hint="eastAsia" w:ascii="宋体" w:hAnsi="宋体" w:eastAsia="宋体" w:cs="宋体"/>
          <w:sz w:val="24"/>
          <w:szCs w:val="20"/>
        </w:rPr>
        <w:t xml:space="preserve">。</w:t>
      </w:r>
      <w:r/>
    </w:p>
    <w:p>
      <w:pPr>
        <w:ind w:firstLine="72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包四</w:t>
      </w:r>
      <w:r>
        <w:rPr>
          <w:rFonts w:hint="eastAsia" w:ascii="宋体" w:hAnsi="宋体" w:eastAsia="宋体" w:cs="宋体"/>
          <w:sz w:val="24"/>
          <w:szCs w:val="24"/>
        </w:rPr>
        <w:t xml:space="preserve">（县内及以上包车客运或公交客运[仅提供定制公交和点呼公交客运服务]）：供应商具有合法有效的道路运输经营许可证</w:t>
      </w:r>
      <w:r>
        <w:rPr>
          <w:rFonts w:hint="eastAsia" w:ascii="宋体" w:hAnsi="宋体" w:eastAsia="宋体" w:cs="宋体"/>
          <w:sz w:val="24"/>
          <w:szCs w:val="20"/>
        </w:rPr>
        <w:t xml:space="preserve">。</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1.7用车范围：</w:t>
      </w:r>
      <w:r/>
    </w:p>
    <w:p>
      <w:pPr>
        <w:ind w:firstLine="480"/>
        <w:jc w:val="left"/>
        <w:spacing w:line="500" w:lineRule="atLeast"/>
        <w:widowControl/>
        <w:rPr>
          <w:rFonts w:ascii="宋体" w:hAnsi="宋体" w:eastAsia="宋体" w:cs="宋体"/>
          <w:sz w:val="24"/>
          <w:szCs w:val="24"/>
        </w:rPr>
      </w:pPr>
      <w:r>
        <w:rPr>
          <w:rFonts w:hint="eastAsia" w:ascii="宋体" w:hAnsi="宋体" w:eastAsia="宋体" w:cs="宋体"/>
          <w:sz w:val="24"/>
          <w:szCs w:val="20"/>
        </w:rPr>
        <w:t xml:space="preserve">市本级单位公务活动出行符合用车规定十五条和《盐城市市级机关租用社会车辆管理办法》。</w:t>
      </w:r>
      <w:r/>
    </w:p>
    <w:p>
      <w:pPr>
        <w:ind w:firstLine="480"/>
        <w:jc w:val="left"/>
        <w:spacing w:line="500" w:lineRule="atLeast"/>
        <w:widowControl/>
        <w:rPr>
          <w:rFonts w:ascii="宋体" w:hAnsi="宋体" w:eastAsia="宋体" w:cs="宋体"/>
          <w:b/>
          <w:bCs/>
          <w:sz w:val="24"/>
          <w:szCs w:val="20"/>
        </w:rPr>
      </w:pPr>
      <w:r>
        <w:rPr>
          <w:rFonts w:hint="eastAsia" w:ascii="宋体" w:hAnsi="宋体" w:eastAsia="宋体" w:cs="宋体"/>
          <w:b/>
          <w:bCs/>
          <w:sz w:val="24"/>
          <w:szCs w:val="20"/>
        </w:rPr>
        <w:t xml:space="preserve">2.商务要求</w:t>
      </w:r>
      <w:r/>
    </w:p>
    <w:p>
      <w:pPr>
        <w:ind w:firstLine="480"/>
        <w:jc w:val="left"/>
        <w:spacing w:line="500" w:lineRule="atLeast"/>
        <w:widowControl/>
        <w:rPr>
          <w:rFonts w:ascii="宋体" w:hAnsi="宋体" w:eastAsia="宋体" w:cs="宋体"/>
          <w:b/>
          <w:bCs/>
          <w:sz w:val="24"/>
          <w:szCs w:val="20"/>
        </w:rPr>
      </w:pPr>
      <w:r/>
      <w:bookmarkStart w:id="199" w:name="OLE_LINK78"/>
      <w:r/>
      <w:bookmarkStart w:id="200" w:name="OLE_LINK77"/>
      <w:r>
        <w:rPr>
          <w:rFonts w:hint="eastAsia" w:ascii="宋体" w:hAnsi="宋体" w:eastAsia="宋体" w:cs="宋体"/>
          <w:b/>
          <w:bCs/>
          <w:sz w:val="24"/>
          <w:szCs w:val="20"/>
        </w:rPr>
        <w:t xml:space="preserve">2.1 </w:t>
      </w:r>
      <w:r>
        <w:rPr>
          <w:rFonts w:hint="eastAsia" w:ascii="宋体" w:hAnsi="宋体" w:eastAsia="宋体" w:cs="宋体"/>
          <w:b/>
          <w:bCs/>
          <w:sz w:val="24"/>
          <w:szCs w:val="24"/>
        </w:rPr>
        <w:t xml:space="preserve">报价要求</w:t>
      </w:r>
      <w:r/>
    </w:p>
    <w:p>
      <w:pPr>
        <w:ind w:firstLine="480"/>
        <w:spacing w:line="500" w:lineRule="atLeast"/>
        <w:rPr>
          <w:rFonts w:ascii="宋体" w:hAnsi="宋体" w:eastAsia="宋体" w:cs="宋体"/>
          <w:sz w:val="24"/>
          <w:szCs w:val="24"/>
        </w:rPr>
      </w:pPr>
      <w:r>
        <w:rPr>
          <w:rFonts w:ascii="宋体" w:hAnsi="宋体" w:eastAsia="宋体" w:cs="宋体"/>
          <w:sz w:val="24"/>
          <w:szCs w:val="20"/>
        </w:rPr>
        <w:t xml:space="preserve">2.1.1</w:t>
      </w:r>
      <w:r>
        <w:rPr>
          <w:rFonts w:hint="eastAsia" w:ascii="宋体" w:hAnsi="宋体" w:eastAsia="宋体" w:cs="宋体"/>
          <w:sz w:val="24"/>
          <w:szCs w:val="24"/>
        </w:rPr>
        <w:t xml:space="preserve">除驾驶员住宿费（</w:t>
      </w:r>
      <w:r>
        <w:rPr>
          <w:rFonts w:ascii="宋体" w:hAnsi="宋体" w:eastAsia="宋体" w:cs="宋体"/>
          <w:sz w:val="24"/>
          <w:szCs w:val="24"/>
        </w:rPr>
        <w:t xml:space="preserve">包二网约车</w:t>
      </w:r>
      <w:r>
        <w:rPr>
          <w:rFonts w:hint="eastAsia" w:ascii="宋体" w:hAnsi="宋体" w:eastAsia="宋体" w:cs="宋体"/>
          <w:sz w:val="24"/>
          <w:szCs w:val="24"/>
        </w:rPr>
        <w:t xml:space="preserve">司机住宿费由中标公司自理）、过路过桥费、停车费由采购人(用车方)据实</w:t>
      </w:r>
      <w:r>
        <w:rPr>
          <w:rFonts w:ascii="宋体" w:hAnsi="宋体" w:eastAsia="宋体" w:cs="宋体"/>
          <w:sz w:val="24"/>
          <w:szCs w:val="24"/>
        </w:rPr>
        <w:t xml:space="preserve">支付</w:t>
      </w:r>
      <w:r>
        <w:rPr>
          <w:rFonts w:hint="eastAsia" w:ascii="宋体" w:hAnsi="宋体" w:eastAsia="宋体" w:cs="宋体"/>
          <w:sz w:val="24"/>
          <w:szCs w:val="24"/>
        </w:rPr>
        <w:t xml:space="preserve">外，其他一切费用（包括但不限于保险费、日常保养费、燃油费、维修费、年审费、折旧费、交通事故产生的费用、随车驾驶员工资福利费、保险、相关税金等所有费用）由入围供应商承担。由采购人(用车方)据实支付的驾驶员住宿费，不得超过盐城市现行机关差旅费管理相关办法规定标准。</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.1.2</w:t>
      </w:r>
      <w:r>
        <w:rPr>
          <w:rFonts w:hint="eastAsia" w:ascii="宋体" w:hAnsi="宋体" w:eastAsia="宋体" w:cs="宋体"/>
          <w:sz w:val="24"/>
          <w:szCs w:val="24"/>
        </w:rPr>
        <w:t xml:space="preserve">凭轨迹图报销（含起始结束时间、以及总里程数），</w:t>
      </w:r>
      <w:r>
        <w:rPr>
          <w:rFonts w:hint="eastAsia" w:ascii="宋体" w:hAnsi="宋体" w:cs="宋体"/>
          <w:sz w:val="24"/>
          <w:szCs w:val="24"/>
        </w:rPr>
        <w:t xml:space="preserve">超时超公里不得重复加收费用</w:t>
      </w:r>
      <w:r>
        <w:rPr>
          <w:rFonts w:hint="eastAsia" w:ascii="宋体" w:hAnsi="宋体" w:eastAsia="宋体" w:cs="宋体"/>
          <w:sz w:val="24"/>
          <w:szCs w:val="24"/>
        </w:rPr>
        <w:t xml:space="preserve">。</w:t>
      </w:r>
      <w:r/>
    </w:p>
    <w:p>
      <w:pPr>
        <w:ind w:firstLine="540"/>
        <w:spacing w:line="500" w:lineRule="atLeas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1.</w:t>
      </w:r>
      <w:r>
        <w:rPr>
          <w:rFonts w:hint="eastAsia" w:ascii="宋体" w:hAnsi="宋体" w:eastAsia="宋体" w:cs="宋体"/>
          <w:sz w:val="24"/>
          <w:szCs w:val="24"/>
        </w:rPr>
        <w:t xml:space="preserve">3租用采购包1（租赁性质）车辆要按照出租企业与第三方代驾公司协议计算司机劳务费且必须直接支付给第三方代驾公司。</w:t>
      </w:r>
      <w:r/>
    </w:p>
    <w:p>
      <w:pPr>
        <w:ind w:firstLine="540"/>
        <w:spacing w:line="500" w:lineRule="atLeast"/>
        <w:rPr>
          <w:rFonts w:ascii="宋体" w:hAnsi="宋体" w:eastAsia="宋体" w:cs="宋体"/>
          <w:sz w:val="24"/>
          <w:szCs w:val="20"/>
        </w:rPr>
      </w:pPr>
      <w:r>
        <w:rPr>
          <w:rFonts w:ascii="宋体" w:hAnsi="宋体" w:eastAsia="宋体" w:cs="宋体"/>
          <w:sz w:val="24"/>
          <w:szCs w:val="20"/>
        </w:rPr>
        <w:t xml:space="preserve">2.1.4最高限制单价按照天数（全日或半日）、里程以及时间等分别列出，即列出各采购包每种车型具体的每天日租费、半日租费、超时加收费用</w:t>
      </w:r>
      <w:r>
        <w:rPr>
          <w:rFonts w:hint="eastAsia" w:ascii="宋体" w:hAnsi="宋体" w:eastAsia="宋体" w:cs="宋体"/>
          <w:sz w:val="24"/>
          <w:szCs w:val="20"/>
        </w:rPr>
        <w:t xml:space="preserve">或</w:t>
      </w:r>
      <w:r>
        <w:rPr>
          <w:rFonts w:ascii="宋体" w:hAnsi="宋体" w:eastAsia="宋体" w:cs="宋体"/>
          <w:sz w:val="24"/>
          <w:szCs w:val="20"/>
        </w:rPr>
        <w:t xml:space="preserve">超公里加收费用（</w:t>
      </w:r>
      <w:r>
        <w:rPr>
          <w:rFonts w:hint="eastAsia" w:ascii="宋体" w:hAnsi="宋体" w:cs="宋体"/>
          <w:sz w:val="24"/>
          <w:szCs w:val="24"/>
        </w:rPr>
        <w:t xml:space="preserve">超时超公里不得重复加收费用</w:t>
      </w:r>
      <w:r>
        <w:rPr>
          <w:rFonts w:ascii="宋体" w:hAnsi="宋体" w:eastAsia="宋体" w:cs="宋体"/>
          <w:sz w:val="24"/>
          <w:szCs w:val="20"/>
        </w:rPr>
        <w:t xml:space="preserve">）等。</w:t>
      </w:r>
      <w:r/>
    </w:p>
    <w:p>
      <w:pPr>
        <w:ind w:firstLine="540"/>
        <w:spacing w:line="500" w:lineRule="atLeast"/>
        <w:rPr>
          <w:rFonts w:ascii="宋体" w:hAnsi="宋体" w:eastAsia="宋体" w:cs="宋体"/>
          <w:sz w:val="24"/>
          <w:szCs w:val="20"/>
        </w:rPr>
      </w:pPr>
      <w:r>
        <w:rPr>
          <w:rFonts w:ascii="宋体" w:hAnsi="宋体" w:eastAsia="宋体" w:cs="宋体"/>
          <w:sz w:val="24"/>
          <w:szCs w:val="20"/>
        </w:rPr>
        <w:t xml:space="preserve">2.1.</w:t>
      </w:r>
      <w:r>
        <w:rPr>
          <w:rFonts w:hint="eastAsia" w:ascii="宋体" w:hAnsi="宋体" w:eastAsia="宋体" w:cs="宋体"/>
          <w:sz w:val="24"/>
          <w:szCs w:val="20"/>
        </w:rPr>
        <w:t xml:space="preserve">5</w:t>
      </w:r>
      <w:bookmarkStart w:id="201" w:name="OLE_LINK44"/>
      <w:r/>
      <w:bookmarkStart w:id="202" w:name="OLE_LINK45"/>
      <w:r>
        <w:rPr>
          <w:rFonts w:hint="eastAsia" w:ascii="宋体" w:hAnsi="宋体" w:eastAsia="宋体" w:cs="宋体"/>
          <w:sz w:val="24"/>
          <w:szCs w:val="20"/>
        </w:rPr>
        <w:t xml:space="preserve">本项目在各采购包相关车型客运租赁服务最高限制单价的基础上按照下浮率进行报价，报价要求大于等于0%，小于100%，每个采购包仅需报一个下浮率。</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如供应商采购包1下浮率为90%，则其5座-9座新能源类车（纯电汽车）半日租单价=320*（1</w:t>
      </w:r>
      <w:r>
        <w:rPr>
          <w:rFonts w:ascii="宋体" w:hAnsi="宋体" w:eastAsia="宋体" w:cs="宋体"/>
          <w:sz w:val="24"/>
          <w:szCs w:val="20"/>
        </w:rPr>
        <w:t xml:space="preserve">-</w:t>
      </w:r>
      <w:r>
        <w:rPr>
          <w:rFonts w:hint="eastAsia" w:ascii="宋体" w:hAnsi="宋体" w:eastAsia="宋体" w:cs="宋体"/>
          <w:sz w:val="24"/>
          <w:szCs w:val="20"/>
        </w:rPr>
        <w:t xml:space="preserve">90%）=</w:t>
      </w:r>
      <w:r>
        <w:rPr>
          <w:rFonts w:ascii="宋体" w:hAnsi="宋体" w:eastAsia="宋体" w:cs="宋体"/>
          <w:sz w:val="24"/>
          <w:szCs w:val="20"/>
        </w:rPr>
        <w:t xml:space="preserve">32</w:t>
      </w:r>
      <w:r>
        <w:rPr>
          <w:rFonts w:hint="eastAsia" w:ascii="宋体" w:hAnsi="宋体" w:eastAsia="宋体" w:cs="宋体"/>
          <w:sz w:val="24"/>
          <w:szCs w:val="20"/>
        </w:rPr>
        <w:t xml:space="preserve">元；如供应商采购包1下浮率为10%，则其5座-9座新能源类车（纯电汽车）半日租单价=320*（1</w:t>
      </w:r>
      <w:r>
        <w:rPr>
          <w:rFonts w:ascii="宋体" w:hAnsi="宋体" w:eastAsia="宋体" w:cs="宋体"/>
          <w:sz w:val="24"/>
          <w:szCs w:val="20"/>
        </w:rPr>
        <w:t xml:space="preserve">-1</w:t>
      </w:r>
      <w:r>
        <w:rPr>
          <w:rFonts w:hint="eastAsia" w:ascii="宋体" w:hAnsi="宋体" w:eastAsia="宋体" w:cs="宋体"/>
          <w:sz w:val="24"/>
          <w:szCs w:val="20"/>
        </w:rPr>
        <w:t xml:space="preserve">0%）=288元，请各供应商结合相关实际合理进行下浮比例报价。</w:t>
      </w:r>
      <w:bookmarkEnd w:id="201"/>
      <w:r/>
      <w:bookmarkEnd w:id="202"/>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2.1.6资金支付（结算）方式、时间和条件</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2.1.7承运方与用车方结算出租车客运服务费用。具体结算方式:经用车方使用任务结束后，由用车方办理政府采购资金结算手续。</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2.1.8服务费用支付要严格执行财政国库支付制度，不得以现金方式支付，结算时需出具公务租车审批表、会议（活动）通知、政府采购合同、发票等相关凭证。</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2.1.9最高限制单价：</w:t>
      </w:r>
      <w:r/>
    </w:p>
    <w:p>
      <w:pPr>
        <w:pStyle w:val="756"/>
        <w:rPr>
          <w:rFonts w:ascii="宋体" w:hAnsi="宋体" w:eastAsia="宋体" w:cs="宋体"/>
          <w:sz w:val="24"/>
          <w:szCs w:val="20"/>
        </w:rPr>
      </w:pPr>
      <w:r>
        <w:rPr>
          <w:rFonts w:ascii="宋体" w:hAnsi="宋体" w:eastAsia="宋体" w:cs="宋体"/>
          <w:sz w:val="24"/>
          <w:szCs w:val="20"/>
        </w:rPr>
      </w:r>
      <w:r/>
    </w:p>
    <w:p>
      <w:pPr>
        <w:pStyle w:val="756"/>
        <w:rPr>
          <w:rFonts w:ascii="宋体" w:hAnsi="宋体" w:eastAsia="宋体" w:cs="宋体"/>
          <w:sz w:val="24"/>
          <w:szCs w:val="20"/>
        </w:rPr>
      </w:pPr>
      <w:r>
        <w:rPr>
          <w:rFonts w:ascii="宋体" w:hAnsi="宋体" w:eastAsia="宋体" w:cs="宋体"/>
          <w:sz w:val="24"/>
          <w:szCs w:val="20"/>
        </w:rPr>
      </w:r>
      <w:r/>
    </w:p>
    <w:p>
      <w:pPr>
        <w:pStyle w:val="756"/>
        <w:rPr>
          <w:rFonts w:ascii="宋体" w:hAnsi="宋体" w:eastAsia="宋体" w:cs="宋体"/>
          <w:sz w:val="24"/>
          <w:szCs w:val="20"/>
        </w:rPr>
      </w:pPr>
      <w:r>
        <w:rPr>
          <w:rFonts w:ascii="宋体" w:hAnsi="宋体" w:eastAsia="宋体" w:cs="宋体"/>
          <w:sz w:val="24"/>
          <w:szCs w:val="20"/>
        </w:rPr>
      </w:r>
      <w:r/>
    </w:p>
    <w:p>
      <w:pPr>
        <w:pStyle w:val="756"/>
        <w:rPr>
          <w:rFonts w:ascii="宋体" w:hAnsi="宋体" w:eastAsia="宋体" w:cs="宋体"/>
          <w:sz w:val="24"/>
          <w:szCs w:val="20"/>
        </w:rPr>
      </w:pPr>
      <w:r>
        <w:rPr>
          <w:rFonts w:ascii="宋体" w:hAnsi="宋体" w:eastAsia="宋体" w:cs="宋体"/>
          <w:sz w:val="24"/>
          <w:szCs w:val="20"/>
        </w:rPr>
      </w:r>
      <w:r/>
    </w:p>
    <w:p>
      <w:pPr>
        <w:pStyle w:val="756"/>
        <w:rPr>
          <w:rFonts w:ascii="宋体" w:hAnsi="宋体" w:eastAsia="宋体" w:cs="宋体"/>
          <w:sz w:val="24"/>
          <w:szCs w:val="20"/>
        </w:rPr>
      </w:pPr>
      <w:r>
        <w:rPr>
          <w:rFonts w:ascii="宋体" w:hAnsi="宋体" w:eastAsia="宋体" w:cs="宋体"/>
          <w:sz w:val="24"/>
          <w:szCs w:val="20"/>
        </w:rPr>
      </w:r>
      <w:r/>
    </w:p>
    <w:p>
      <w:pPr>
        <w:pStyle w:val="756"/>
        <w:rPr>
          <w:rFonts w:ascii="宋体" w:hAnsi="宋体" w:eastAsia="宋体" w:cs="宋体"/>
          <w:sz w:val="24"/>
          <w:szCs w:val="20"/>
        </w:rPr>
      </w:pPr>
      <w:r>
        <w:rPr>
          <w:rFonts w:ascii="宋体" w:hAnsi="宋体" w:eastAsia="宋体" w:cs="宋体"/>
          <w:sz w:val="24"/>
          <w:szCs w:val="20"/>
        </w:rPr>
      </w:r>
      <w:r/>
    </w:p>
    <w:p>
      <w:pPr>
        <w:pStyle w:val="756"/>
        <w:rPr>
          <w:rFonts w:ascii="宋体" w:hAnsi="宋体" w:eastAsia="宋体" w:cs="宋体"/>
          <w:sz w:val="24"/>
          <w:szCs w:val="20"/>
        </w:rPr>
      </w:pPr>
      <w:r>
        <w:rPr>
          <w:rFonts w:ascii="宋体" w:hAnsi="宋体" w:eastAsia="宋体" w:cs="宋体"/>
          <w:sz w:val="24"/>
          <w:szCs w:val="20"/>
        </w:rPr>
      </w:r>
      <w:r/>
    </w:p>
    <w:p>
      <w:pPr>
        <w:pStyle w:val="756"/>
        <w:rPr>
          <w:rFonts w:ascii="宋体" w:hAnsi="宋体" w:eastAsia="宋体" w:cs="宋体"/>
          <w:sz w:val="24"/>
          <w:szCs w:val="20"/>
        </w:rPr>
      </w:pPr>
      <w:r>
        <w:rPr>
          <w:rFonts w:ascii="宋体" w:hAnsi="宋体" w:eastAsia="宋体" w:cs="宋体"/>
          <w:sz w:val="24"/>
          <w:szCs w:val="20"/>
        </w:rPr>
      </w:r>
      <w:r/>
    </w:p>
    <w:p>
      <w:pPr>
        <w:pStyle w:val="756"/>
        <w:rPr>
          <w:rFonts w:ascii="宋体" w:hAnsi="宋体" w:eastAsia="宋体" w:cs="宋体"/>
          <w:sz w:val="24"/>
          <w:szCs w:val="20"/>
        </w:rPr>
      </w:pPr>
      <w:r>
        <w:rPr>
          <w:rFonts w:ascii="宋体" w:hAnsi="宋体" w:eastAsia="宋体" w:cs="宋体"/>
          <w:sz w:val="24"/>
          <w:szCs w:val="20"/>
        </w:rPr>
      </w:r>
      <w:r/>
    </w:p>
    <w:p>
      <w:pPr>
        <w:pStyle w:val="756"/>
        <w:rPr>
          <w:rFonts w:ascii="宋体" w:hAnsi="宋体" w:eastAsia="宋体" w:cs="宋体"/>
          <w:sz w:val="24"/>
          <w:szCs w:val="20"/>
        </w:rPr>
      </w:pPr>
      <w:r>
        <w:rPr>
          <w:rFonts w:ascii="宋体" w:hAnsi="宋体" w:eastAsia="宋体" w:cs="宋体"/>
          <w:sz w:val="24"/>
          <w:szCs w:val="20"/>
        </w:rPr>
      </w:r>
      <w:r/>
    </w:p>
    <w:p>
      <w:pPr>
        <w:pStyle w:val="756"/>
        <w:rPr>
          <w:rFonts w:ascii="宋体" w:hAnsi="宋体" w:eastAsia="宋体" w:cs="宋体"/>
          <w:sz w:val="24"/>
          <w:szCs w:val="20"/>
        </w:rPr>
      </w:pPr>
      <w:r>
        <w:rPr>
          <w:rFonts w:ascii="宋体" w:hAnsi="宋体" w:eastAsia="宋体" w:cs="宋体"/>
          <w:sz w:val="24"/>
          <w:szCs w:val="20"/>
        </w:rPr>
      </w:r>
      <w:r/>
    </w:p>
    <w:p>
      <w:pPr>
        <w:pStyle w:val="756"/>
        <w:rPr>
          <w:rFonts w:ascii="宋体" w:hAnsi="宋体" w:eastAsia="宋体" w:cs="宋体"/>
          <w:sz w:val="24"/>
          <w:szCs w:val="20"/>
        </w:rPr>
      </w:pPr>
      <w:r>
        <w:rPr>
          <w:rFonts w:ascii="宋体" w:hAnsi="宋体" w:eastAsia="宋体" w:cs="宋体"/>
          <w:sz w:val="24"/>
          <w:szCs w:val="20"/>
        </w:rPr>
      </w:r>
      <w:r/>
    </w:p>
    <w:tbl>
      <w:tblPr>
        <w:tblStyle w:val="78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4"/>
        <w:gridCol w:w="2164"/>
        <w:gridCol w:w="1605"/>
        <w:gridCol w:w="1610"/>
        <w:gridCol w:w="1974"/>
        <w:gridCol w:w="1231"/>
      </w:tblGrid>
      <w:tr>
        <w:trPr>
          <w:trHeight w:val="768"/>
        </w:trPr>
        <w:tc>
          <w:tcPr>
            <w:shd w:val="clear" w:color="auto" w:fill="auto"/>
            <w:tcW w:w="1057" w:type="dxa"/>
            <w:vAlign w:val="center"/>
            <w:textDirection w:val="lrTb"/>
            <w:noWrap w:val="false"/>
          </w:tcPr>
          <w:p>
            <w:pPr>
              <w:jc w:val="center"/>
              <w:rPr>
                <w:rFonts w:ascii="宋体" w:hAnsi="宋体" w:cs="宋体"/>
                <w:b/>
                <w:color w:val="000000"/>
                <w:sz w:val="22"/>
              </w:rPr>
            </w:pPr>
            <w:r>
              <w:rPr>
                <w:rFonts w:hint="eastAsia" w:ascii="宋体" w:hAnsi="宋体" w:cs="宋体"/>
                <w:b/>
                <w:color w:val="000000"/>
                <w:sz w:val="22"/>
              </w:rPr>
              <w:t xml:space="preserve">采购</w:t>
            </w:r>
            <w:r/>
          </w:p>
          <w:p>
            <w:pPr>
              <w:jc w:val="center"/>
              <w:rPr>
                <w:rFonts w:ascii="宋体" w:hAnsi="宋体" w:cs="宋体"/>
                <w:b/>
                <w:color w:val="000000"/>
                <w:sz w:val="22"/>
              </w:rPr>
            </w:pPr>
            <w:r>
              <w:rPr>
                <w:rFonts w:hint="eastAsia" w:ascii="宋体" w:hAnsi="宋体" w:cs="宋体"/>
                <w:b/>
                <w:color w:val="000000"/>
                <w:sz w:val="22"/>
              </w:rPr>
              <w:t xml:space="preserve">包1</w:t>
            </w:r>
            <w:r/>
          </w:p>
        </w:tc>
        <w:tc>
          <w:tcPr>
            <w:shd w:val="clear" w:color="auto" w:fill="auto"/>
            <w:tcW w:w="2223" w:type="dxa"/>
            <w:vAlign w:val="center"/>
            <w:textDirection w:val="lrTb"/>
            <w:noWrap w:val="false"/>
          </w:tcPr>
          <w:p>
            <w:pPr>
              <w:ind w:firstLine="431"/>
              <w:rPr>
                <w:rFonts w:ascii="宋体" w:hAnsi="宋体" w:cs="宋体"/>
                <w:b/>
                <w:bCs/>
                <w:color w:val="000000"/>
                <w:sz w:val="22"/>
              </w:rPr>
            </w:pPr>
            <w:r>
              <w:rPr>
                <w:rFonts w:hint="eastAsia" w:ascii="宋体" w:hAnsi="宋体" w:cs="宋体"/>
                <w:b/>
                <w:bCs/>
                <w:color w:val="000000"/>
                <w:sz w:val="22"/>
              </w:rPr>
              <w:t xml:space="preserve">车辆类型</w:t>
            </w:r>
            <w:r/>
          </w:p>
        </w:tc>
        <w:tc>
          <w:tcPr>
            <w:shd w:val="clear" w:color="auto" w:fill="auto"/>
            <w:tcW w:w="1640" w:type="dxa"/>
            <w:vAlign w:val="center"/>
            <w:textDirection w:val="lrTb"/>
            <w:noWrap w:val="false"/>
          </w:tcPr>
          <w:p>
            <w:pPr>
              <w:rPr>
                <w:rFonts w:ascii="宋体" w:hAnsi="宋体" w:cs="宋体"/>
                <w:b/>
                <w:bCs/>
                <w:color w:val="000000"/>
                <w:sz w:val="22"/>
              </w:rPr>
            </w:pPr>
            <w:r>
              <w:rPr>
                <w:rFonts w:hint="eastAsia" w:ascii="宋体" w:hAnsi="宋体" w:cs="宋体"/>
                <w:b/>
                <w:bCs/>
                <w:color w:val="000000"/>
                <w:sz w:val="22"/>
              </w:rPr>
              <w:t xml:space="preserve">半日租（4小时/50公里）</w:t>
            </w:r>
            <w:r/>
          </w:p>
        </w:tc>
        <w:tc>
          <w:tcPr>
            <w:shd w:val="clear" w:color="auto" w:fill="auto"/>
            <w:tcW w:w="1640" w:type="dxa"/>
            <w:vAlign w:val="center"/>
            <w:textDirection w:val="lrTb"/>
            <w:noWrap w:val="false"/>
          </w:tcPr>
          <w:p>
            <w:pPr>
              <w:rPr>
                <w:rFonts w:ascii="宋体" w:hAnsi="宋体" w:cs="宋体"/>
                <w:b/>
                <w:bCs/>
                <w:color w:val="000000"/>
                <w:sz w:val="22"/>
              </w:rPr>
            </w:pPr>
            <w:r>
              <w:rPr>
                <w:rFonts w:hint="eastAsia" w:ascii="宋体" w:hAnsi="宋体" w:cs="宋体"/>
                <w:b/>
                <w:bCs/>
                <w:color w:val="000000"/>
                <w:sz w:val="22"/>
              </w:rPr>
              <w:t xml:space="preserve">日租（8小时/100公里）</w:t>
            </w:r>
            <w:r/>
          </w:p>
        </w:tc>
        <w:tc>
          <w:tcPr>
            <w:shd w:val="clear" w:color="auto" w:fill="auto"/>
            <w:tcW w:w="2027" w:type="dxa"/>
            <w:vAlign w:val="center"/>
            <w:textDirection w:val="lrTb"/>
            <w:noWrap w:val="false"/>
          </w:tcPr>
          <w:p>
            <w:pPr>
              <w:jc w:val="center"/>
              <w:rPr>
                <w:rFonts w:ascii="宋体" w:hAnsi="宋体" w:cs="宋体"/>
                <w:b/>
                <w:bCs/>
                <w:color w:val="000000"/>
                <w:sz w:val="22"/>
              </w:rPr>
            </w:pPr>
            <w:r>
              <w:rPr>
                <w:rFonts w:hint="eastAsia" w:ascii="宋体" w:hAnsi="宋体" w:cs="宋体"/>
                <w:b/>
                <w:bCs/>
                <w:color w:val="000000"/>
                <w:sz w:val="22"/>
              </w:rPr>
              <w:t xml:space="preserve">超时</w:t>
            </w:r>
            <w:r/>
          </w:p>
          <w:p>
            <w:pPr>
              <w:jc w:val="center"/>
              <w:rPr>
                <w:rFonts w:ascii="宋体" w:hAnsi="宋体" w:cs="宋体"/>
                <w:b/>
                <w:bCs/>
                <w:color w:val="000000"/>
                <w:sz w:val="22"/>
              </w:rPr>
            </w:pPr>
            <w:r>
              <w:rPr>
                <w:rFonts w:hint="eastAsia" w:ascii="宋体" w:hAnsi="宋体" w:cs="宋体"/>
                <w:b/>
                <w:bCs/>
                <w:color w:val="000000"/>
                <w:sz w:val="22"/>
              </w:rPr>
              <w:t xml:space="preserve">（元/小时）</w:t>
            </w:r>
            <w:r/>
          </w:p>
        </w:tc>
        <w:tc>
          <w:tcPr>
            <w:shd w:val="clear" w:color="auto" w:fill="auto"/>
            <w:tcW w:w="1253" w:type="dxa"/>
            <w:vAlign w:val="center"/>
            <w:textDirection w:val="lrTb"/>
            <w:noWrap w:val="false"/>
          </w:tcPr>
          <w:p>
            <w:pPr>
              <w:jc w:val="center"/>
              <w:rPr>
                <w:rFonts w:ascii="宋体" w:hAnsi="宋体" w:cs="宋体"/>
                <w:b/>
                <w:bCs/>
                <w:color w:val="000000"/>
                <w:sz w:val="22"/>
              </w:rPr>
            </w:pPr>
            <w:r>
              <w:rPr>
                <w:rFonts w:hint="eastAsia" w:ascii="宋体" w:hAnsi="宋体" w:cs="宋体"/>
                <w:b/>
                <w:bCs/>
                <w:color w:val="000000"/>
                <w:sz w:val="22"/>
              </w:rPr>
              <w:t xml:space="preserve">超公里</w:t>
            </w:r>
            <w:r/>
          </w:p>
          <w:p>
            <w:pPr>
              <w:jc w:val="center"/>
              <w:rPr>
                <w:rFonts w:ascii="宋体" w:hAnsi="宋体" w:cs="宋体"/>
                <w:b/>
                <w:bCs/>
                <w:color w:val="000000"/>
                <w:sz w:val="22"/>
              </w:rPr>
            </w:pPr>
            <w:r>
              <w:rPr>
                <w:rFonts w:hint="eastAsia" w:ascii="宋体" w:hAnsi="宋体" w:cs="宋体"/>
                <w:b/>
                <w:bCs/>
                <w:color w:val="000000"/>
                <w:sz w:val="22"/>
              </w:rPr>
              <w:t xml:space="preserve">（元/公里）</w:t>
            </w:r>
            <w:r/>
          </w:p>
        </w:tc>
      </w:tr>
      <w:tr>
        <w:trPr>
          <w:trHeight w:val="515"/>
        </w:trPr>
        <w:tc>
          <w:tcPr>
            <w:shd w:val="clear" w:color="auto" w:fill="auto"/>
            <w:tcW w:w="1057" w:type="dxa"/>
            <w:vAlign w:val="center"/>
            <w:vMerge w:val="restart"/>
            <w:textDirection w:val="lrTb"/>
            <w:noWrap w:val="false"/>
          </w:tcPr>
          <w:p>
            <w:pPr>
              <w:jc w:val="center"/>
              <w:rPr>
                <w:rFonts w:ascii="宋体" w:hAnsi="宋体" w:cs="宋体"/>
                <w:b/>
                <w:color w:val="000000"/>
                <w:sz w:val="22"/>
              </w:rPr>
            </w:pPr>
            <w:r>
              <w:rPr>
                <w:rFonts w:hint="eastAsia" w:ascii="宋体" w:hAnsi="宋体" w:cs="宋体"/>
                <w:b/>
                <w:color w:val="000000"/>
                <w:sz w:val="22"/>
              </w:rPr>
              <w:t xml:space="preserve">租赁</w:t>
            </w:r>
            <w:r/>
          </w:p>
          <w:p>
            <w:pPr>
              <w:jc w:val="center"/>
              <w:rPr>
                <w:rFonts w:ascii="宋体" w:hAnsi="宋体" w:cs="宋体"/>
                <w:color w:val="000000"/>
                <w:sz w:val="22"/>
              </w:rPr>
            </w:pPr>
            <w:r>
              <w:rPr>
                <w:rFonts w:hint="eastAsia" w:ascii="宋体" w:hAnsi="宋体" w:cs="宋体"/>
                <w:b/>
                <w:color w:val="000000"/>
                <w:sz w:val="22"/>
              </w:rPr>
              <w:t xml:space="preserve">性质</w:t>
            </w:r>
            <w:r/>
          </w:p>
          <w:p>
            <w:pPr>
              <w:jc w:val="center"/>
              <w:rPr>
                <w:sz w:val="20"/>
                <w:szCs w:val="21"/>
              </w:rPr>
            </w:pPr>
            <w:r>
              <w:rPr>
                <w:sz w:val="20"/>
                <w:szCs w:val="21"/>
              </w:rPr>
            </w:r>
            <w:r/>
          </w:p>
        </w:tc>
        <w:tc>
          <w:tcPr>
            <w:shd w:val="clear" w:color="auto" w:fill="auto"/>
            <w:tcW w:w="2223"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5座-9座新能源类车（纯电汽车）</w:t>
            </w:r>
            <w:r/>
          </w:p>
        </w:tc>
        <w:tc>
          <w:tcPr>
            <w:shd w:val="clear" w:color="auto" w:fill="auto"/>
            <w:tcW w:w="1640" w:type="dxa"/>
            <w:vAlign w:val="center"/>
            <w:textDirection w:val="lrTb"/>
            <w:noWrap w:val="false"/>
          </w:tcPr>
          <w:p>
            <w:pPr>
              <w:jc w:val="center"/>
              <w:rPr>
                <w:rFonts w:ascii="宋体" w:hAnsi="宋体" w:cs="宋体"/>
                <w:color w:val="000000"/>
                <w:sz w:val="22"/>
              </w:rPr>
            </w:pPr>
            <w:r>
              <w:rPr>
                <w:rFonts w:hint="eastAsia" w:ascii="宋体" w:hAnsi="宋体" w:cs="宋体"/>
                <w:color w:val="000000"/>
                <w:sz w:val="22"/>
              </w:rPr>
              <w:t xml:space="preserve">320</w:t>
            </w:r>
            <w:r/>
          </w:p>
        </w:tc>
        <w:tc>
          <w:tcPr>
            <w:shd w:val="clear" w:color="auto" w:fill="auto"/>
            <w:tcW w:w="1640" w:type="dxa"/>
            <w:vAlign w:val="center"/>
            <w:textDirection w:val="lrTb"/>
            <w:noWrap w:val="false"/>
          </w:tcPr>
          <w:p>
            <w:pPr>
              <w:ind w:firstLine="440"/>
              <w:rPr>
                <w:rFonts w:ascii="宋体" w:hAnsi="宋体" w:cs="宋体"/>
                <w:color w:val="000000"/>
                <w:sz w:val="22"/>
              </w:rPr>
            </w:pPr>
            <w:r>
              <w:rPr>
                <w:rFonts w:hint="eastAsia" w:ascii="宋体" w:hAnsi="宋体" w:cs="宋体"/>
                <w:color w:val="000000"/>
                <w:sz w:val="22"/>
              </w:rPr>
              <w:t xml:space="preserve">450</w:t>
            </w:r>
            <w:r/>
          </w:p>
        </w:tc>
        <w:tc>
          <w:tcPr>
            <w:shd w:val="clear" w:color="auto" w:fill="auto"/>
            <w:tcW w:w="2027" w:type="dxa"/>
            <w:vAlign w:val="center"/>
            <w:textDirection w:val="lrTb"/>
            <w:noWrap w:val="false"/>
          </w:tcPr>
          <w:p>
            <w:pPr>
              <w:ind w:firstLine="200"/>
              <w:jc w:val="center"/>
              <w:rPr>
                <w:rFonts w:ascii="宋体" w:hAnsi="宋体" w:cs="宋体"/>
                <w:color w:val="000000"/>
                <w:sz w:val="22"/>
              </w:rPr>
            </w:pPr>
            <w:r>
              <w:rPr>
                <w:rFonts w:hint="eastAsia" w:ascii="宋体" w:hAnsi="宋体" w:cs="宋体"/>
                <w:color w:val="000000"/>
                <w:sz w:val="22"/>
              </w:rPr>
              <w:t xml:space="preserve">45</w:t>
            </w:r>
            <w:r/>
          </w:p>
        </w:tc>
        <w:tc>
          <w:tcPr>
            <w:shd w:val="clear" w:color="auto" w:fill="auto"/>
            <w:tcW w:w="1253" w:type="dxa"/>
            <w:vAlign w:val="center"/>
            <w:textDirection w:val="lrTb"/>
            <w:noWrap w:val="false"/>
          </w:tcPr>
          <w:p>
            <w:pPr>
              <w:ind w:firstLine="200"/>
              <w:jc w:val="center"/>
              <w:rPr>
                <w:rFonts w:ascii="宋体" w:hAnsi="宋体" w:cs="宋体"/>
                <w:color w:val="000000"/>
                <w:sz w:val="22"/>
              </w:rPr>
            </w:pPr>
            <w:r>
              <w:rPr>
                <w:rFonts w:hint="eastAsia" w:ascii="宋体" w:hAnsi="宋体" w:cs="宋体"/>
                <w:color w:val="000000"/>
                <w:sz w:val="22"/>
              </w:rPr>
              <w:t xml:space="preserve">2.6</w:t>
            </w:r>
            <w:r/>
          </w:p>
        </w:tc>
      </w:tr>
      <w:tr>
        <w:trPr>
          <w:trHeight w:val="587"/>
        </w:trPr>
        <w:tc>
          <w:tcPr>
            <w:tcW w:w="1057" w:type="dxa"/>
            <w:vMerge w:val="continue"/>
            <w:textDirection w:val="lrTb"/>
            <w:noWrap w:val="false"/>
          </w:tcPr>
          <w:p>
            <w:pPr>
              <w:jc w:val="center"/>
              <w:rPr>
                <w:sz w:val="20"/>
                <w:szCs w:val="21"/>
              </w:rPr>
            </w:pPr>
            <w:r>
              <w:rPr>
                <w:sz w:val="20"/>
                <w:szCs w:val="21"/>
              </w:rPr>
            </w:r>
            <w:r/>
          </w:p>
        </w:tc>
        <w:tc>
          <w:tcPr>
            <w:shd w:val="clear" w:color="auto" w:fill="auto"/>
            <w:tcW w:w="2223"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5座燃油类轿车</w:t>
            </w:r>
            <w:r/>
          </w:p>
          <w:p>
            <w:pPr>
              <w:ind w:firstLine="120"/>
              <w:jc w:val="center"/>
              <w:rPr>
                <w:rFonts w:ascii="宋体" w:hAnsi="宋体" w:cs="宋体"/>
                <w:color w:val="000000"/>
                <w:sz w:val="22"/>
              </w:rPr>
            </w:pPr>
            <w:r>
              <w:rPr>
                <w:rFonts w:hint="eastAsia" w:ascii="宋体" w:hAnsi="宋体" w:cs="宋体"/>
                <w:color w:val="000000"/>
                <w:sz w:val="22"/>
              </w:rPr>
              <w:t xml:space="preserve">（含混动车）</w:t>
            </w:r>
            <w:r/>
          </w:p>
        </w:tc>
        <w:tc>
          <w:tcPr>
            <w:shd w:val="clear" w:color="auto" w:fill="auto"/>
            <w:tcW w:w="1640" w:type="dxa"/>
            <w:vAlign w:val="center"/>
            <w:textDirection w:val="lrTb"/>
            <w:noWrap w:val="false"/>
          </w:tcPr>
          <w:p>
            <w:pPr>
              <w:jc w:val="center"/>
              <w:rPr>
                <w:rFonts w:ascii="宋体" w:hAnsi="宋体" w:cs="宋体"/>
                <w:color w:val="000000"/>
                <w:sz w:val="22"/>
              </w:rPr>
            </w:pPr>
            <w:r>
              <w:rPr>
                <w:rFonts w:hint="eastAsia" w:ascii="宋体" w:hAnsi="宋体" w:cs="宋体"/>
                <w:color w:val="000000"/>
                <w:sz w:val="22"/>
              </w:rPr>
              <w:t xml:space="preserve">350</w:t>
            </w:r>
            <w:r/>
          </w:p>
        </w:tc>
        <w:tc>
          <w:tcPr>
            <w:shd w:val="clear" w:color="auto" w:fill="auto"/>
            <w:tcW w:w="1640" w:type="dxa"/>
            <w:vAlign w:val="center"/>
            <w:textDirection w:val="lrTb"/>
            <w:noWrap w:val="false"/>
          </w:tcPr>
          <w:p>
            <w:pPr>
              <w:jc w:val="center"/>
              <w:rPr>
                <w:rFonts w:ascii="宋体" w:hAnsi="宋体" w:cs="宋体"/>
                <w:color w:val="000000"/>
                <w:sz w:val="22"/>
              </w:rPr>
            </w:pPr>
            <w:r>
              <w:rPr>
                <w:rFonts w:hint="eastAsia" w:ascii="宋体" w:hAnsi="宋体" w:cs="宋体"/>
                <w:color w:val="000000"/>
                <w:sz w:val="22"/>
              </w:rPr>
              <w:t xml:space="preserve">500</w:t>
            </w:r>
            <w:r/>
          </w:p>
        </w:tc>
        <w:tc>
          <w:tcPr>
            <w:shd w:val="clear" w:color="auto" w:fill="auto"/>
            <w:tcW w:w="2027" w:type="dxa"/>
            <w:vAlign w:val="center"/>
            <w:textDirection w:val="lrTb"/>
            <w:noWrap w:val="false"/>
          </w:tcPr>
          <w:p>
            <w:pPr>
              <w:ind w:firstLine="200"/>
              <w:jc w:val="center"/>
              <w:rPr>
                <w:rFonts w:ascii="宋体" w:hAnsi="宋体" w:cs="宋体"/>
                <w:color w:val="000000"/>
                <w:sz w:val="22"/>
              </w:rPr>
            </w:pPr>
            <w:r>
              <w:rPr>
                <w:rFonts w:hint="eastAsia" w:ascii="宋体" w:hAnsi="宋体" w:cs="宋体"/>
                <w:color w:val="000000"/>
                <w:sz w:val="22"/>
              </w:rPr>
              <w:t xml:space="preserve">45</w:t>
            </w:r>
            <w:r/>
          </w:p>
        </w:tc>
        <w:tc>
          <w:tcPr>
            <w:shd w:val="clear" w:color="auto" w:fill="auto"/>
            <w:tcW w:w="1253" w:type="dxa"/>
            <w:vAlign w:val="center"/>
            <w:textDirection w:val="lrTb"/>
            <w:noWrap w:val="false"/>
          </w:tcPr>
          <w:p>
            <w:pPr>
              <w:ind w:firstLine="200"/>
              <w:jc w:val="center"/>
              <w:rPr>
                <w:rFonts w:ascii="宋体" w:hAnsi="宋体" w:cs="宋体"/>
                <w:color w:val="000000"/>
                <w:sz w:val="22"/>
              </w:rPr>
            </w:pPr>
            <w:r>
              <w:rPr>
                <w:rFonts w:hint="eastAsia" w:ascii="宋体" w:hAnsi="宋体" w:cs="宋体"/>
                <w:color w:val="000000"/>
                <w:sz w:val="22"/>
              </w:rPr>
              <w:t xml:space="preserve">3</w:t>
            </w:r>
            <w:r/>
          </w:p>
        </w:tc>
      </w:tr>
      <w:tr>
        <w:trPr>
          <w:trHeight w:val="677"/>
        </w:trPr>
        <w:tc>
          <w:tcPr>
            <w:tcW w:w="1057" w:type="dxa"/>
            <w:vMerge w:val="continue"/>
            <w:textDirection w:val="lrTb"/>
            <w:noWrap w:val="false"/>
          </w:tcPr>
          <w:p>
            <w:pPr>
              <w:jc w:val="center"/>
              <w:rPr>
                <w:sz w:val="20"/>
                <w:szCs w:val="21"/>
              </w:rPr>
            </w:pPr>
            <w:r>
              <w:rPr>
                <w:sz w:val="20"/>
                <w:szCs w:val="21"/>
              </w:rPr>
            </w:r>
            <w:r/>
          </w:p>
        </w:tc>
        <w:tc>
          <w:tcPr>
            <w:shd w:val="clear" w:color="auto" w:fill="auto"/>
            <w:tcW w:w="222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6座-9座燃油类车（含混动车）</w:t>
            </w:r>
            <w:r/>
          </w:p>
        </w:tc>
        <w:tc>
          <w:tcPr>
            <w:shd w:val="clear" w:color="auto" w:fill="auto"/>
            <w:tcW w:w="164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480</w:t>
            </w:r>
            <w:r/>
          </w:p>
        </w:tc>
        <w:tc>
          <w:tcPr>
            <w:shd w:val="clear" w:color="auto" w:fill="auto"/>
            <w:tcW w:w="164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680</w:t>
            </w:r>
            <w:r/>
          </w:p>
        </w:tc>
        <w:tc>
          <w:tcPr>
            <w:shd w:val="clear" w:color="auto" w:fill="auto"/>
            <w:tcW w:w="2027" w:type="dxa"/>
            <w:vAlign w:val="center"/>
            <w:textDirection w:val="lrTb"/>
            <w:noWrap w:val="false"/>
          </w:tcPr>
          <w:p>
            <w:pPr>
              <w:ind w:firstLine="200"/>
              <w:jc w:val="center"/>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1253" w:type="dxa"/>
            <w:vAlign w:val="center"/>
            <w:textDirection w:val="lrTb"/>
            <w:noWrap w:val="false"/>
          </w:tcPr>
          <w:p>
            <w:pPr>
              <w:ind w:firstLine="200"/>
              <w:jc w:val="center"/>
              <w:rPr>
                <w:rFonts w:ascii="宋体" w:hAnsi="宋体" w:cs="宋体"/>
                <w:color w:val="000000"/>
                <w:sz w:val="24"/>
                <w:szCs w:val="24"/>
              </w:rPr>
            </w:pPr>
            <w:r>
              <w:rPr>
                <w:rFonts w:hint="eastAsia" w:ascii="宋体" w:hAnsi="宋体" w:cs="宋体"/>
                <w:color w:val="000000"/>
                <w:sz w:val="24"/>
                <w:szCs w:val="24"/>
              </w:rPr>
              <w:t xml:space="preserve">3.6</w:t>
            </w:r>
            <w:r/>
          </w:p>
        </w:tc>
      </w:tr>
      <w:tr>
        <w:trPr>
          <w:trHeight w:val="1090"/>
        </w:trPr>
        <w:tc>
          <w:tcPr>
            <w:shd w:val="clear" w:color="auto" w:fill="auto"/>
            <w:tcW w:w="1057" w:type="dxa"/>
            <w:vAlign w:val="center"/>
            <w:textDirection w:val="lrTb"/>
            <w:noWrap w:val="false"/>
          </w:tcPr>
          <w:p>
            <w:pPr>
              <w:jc w:val="center"/>
              <w:rPr>
                <w:rFonts w:ascii="宋体" w:hAnsi="宋体" w:cs="宋体"/>
                <w:b/>
                <w:color w:val="000000"/>
                <w:sz w:val="22"/>
              </w:rPr>
            </w:pPr>
            <w:r>
              <w:rPr>
                <w:rFonts w:hint="eastAsia" w:ascii="宋体" w:hAnsi="宋体" w:cs="宋体"/>
                <w:b/>
                <w:color w:val="000000"/>
                <w:sz w:val="22"/>
              </w:rPr>
              <w:t xml:space="preserve">采购</w:t>
            </w:r>
            <w:r/>
          </w:p>
          <w:p>
            <w:pPr>
              <w:jc w:val="center"/>
              <w:rPr>
                <w:rFonts w:ascii="宋体" w:hAnsi="宋体" w:cs="宋体"/>
                <w:b/>
                <w:color w:val="000000"/>
                <w:sz w:val="22"/>
              </w:rPr>
            </w:pPr>
            <w:r>
              <w:rPr>
                <w:rFonts w:hint="eastAsia" w:ascii="宋体" w:hAnsi="宋体" w:cs="宋体"/>
                <w:b/>
                <w:color w:val="000000"/>
                <w:sz w:val="22"/>
              </w:rPr>
              <w:t xml:space="preserve">包2</w:t>
            </w:r>
            <w:r/>
          </w:p>
        </w:tc>
        <w:tc>
          <w:tcPr>
            <w:shd w:val="clear" w:color="auto" w:fill="auto"/>
            <w:tcW w:w="2223" w:type="dxa"/>
            <w:vAlign w:val="center"/>
            <w:textDirection w:val="lrTb"/>
            <w:noWrap w:val="false"/>
          </w:tcPr>
          <w:p>
            <w:pPr>
              <w:ind w:firstLine="221"/>
              <w:rPr>
                <w:rFonts w:ascii="宋体" w:hAnsi="宋体" w:cs="宋体"/>
                <w:b/>
                <w:color w:val="000000"/>
                <w:sz w:val="22"/>
              </w:rPr>
            </w:pPr>
            <w:r>
              <w:rPr>
                <w:rFonts w:hint="eastAsia" w:ascii="宋体" w:hAnsi="宋体" w:cs="宋体"/>
                <w:b/>
                <w:color w:val="000000"/>
                <w:sz w:val="22"/>
              </w:rPr>
              <w:t xml:space="preserve">车辆类型</w:t>
            </w:r>
            <w:r/>
          </w:p>
        </w:tc>
        <w:tc>
          <w:tcPr>
            <w:shd w:val="clear" w:color="auto" w:fill="auto"/>
            <w:tcW w:w="1640" w:type="dxa"/>
            <w:vAlign w:val="center"/>
            <w:textDirection w:val="lrTb"/>
            <w:noWrap w:val="false"/>
          </w:tcPr>
          <w:p>
            <w:pPr>
              <w:rPr>
                <w:rFonts w:ascii="宋体" w:hAnsi="宋体" w:cs="宋体"/>
                <w:b/>
                <w:color w:val="000000"/>
                <w:sz w:val="22"/>
              </w:rPr>
            </w:pPr>
            <w:r>
              <w:rPr>
                <w:rFonts w:hint="eastAsia" w:ascii="宋体" w:hAnsi="宋体" w:cs="宋体"/>
                <w:b/>
                <w:color w:val="000000"/>
                <w:sz w:val="22"/>
              </w:rPr>
              <w:t xml:space="preserve">时长费（此费用为不可竞争费，不参与报价下浮。）</w:t>
            </w:r>
            <w:r/>
          </w:p>
        </w:tc>
        <w:tc>
          <w:tcPr>
            <w:shd w:val="clear" w:color="auto" w:fill="auto"/>
            <w:tcW w:w="1640" w:type="dxa"/>
            <w:vAlign w:val="center"/>
            <w:textDirection w:val="lrTb"/>
            <w:noWrap w:val="false"/>
          </w:tcPr>
          <w:p>
            <w:pPr>
              <w:ind w:firstLine="221"/>
              <w:rPr>
                <w:rFonts w:ascii="宋体" w:hAnsi="宋体" w:cs="宋体"/>
                <w:b/>
                <w:color w:val="000000"/>
                <w:sz w:val="22"/>
              </w:rPr>
            </w:pPr>
            <w:r>
              <w:rPr>
                <w:rFonts w:hint="eastAsia" w:ascii="宋体" w:hAnsi="宋体" w:cs="宋体"/>
                <w:b/>
                <w:color w:val="000000"/>
                <w:sz w:val="22"/>
              </w:rPr>
              <w:t xml:space="preserve">里程单价</w:t>
            </w:r>
            <w:r/>
          </w:p>
        </w:tc>
        <w:tc>
          <w:tcPr>
            <w:shd w:val="clear" w:color="auto" w:fill="auto"/>
            <w:tcW w:w="2027" w:type="dxa"/>
            <w:vAlign w:val="center"/>
            <w:textDirection w:val="lrTb"/>
            <w:noWrap w:val="false"/>
          </w:tcPr>
          <w:p>
            <w:pPr>
              <w:ind w:firstLine="221"/>
              <w:rPr>
                <w:rFonts w:ascii="宋体" w:hAnsi="宋体" w:cs="宋体"/>
                <w:b/>
                <w:color w:val="000000"/>
                <w:sz w:val="22"/>
              </w:rPr>
            </w:pPr>
            <w:r>
              <w:rPr>
                <w:rFonts w:hint="eastAsia" w:ascii="宋体" w:hAnsi="宋体" w:cs="宋体"/>
                <w:b/>
                <w:color w:val="000000"/>
                <w:sz w:val="22"/>
              </w:rPr>
              <w:t xml:space="preserve">空驶费</w:t>
            </w:r>
            <w:r/>
          </w:p>
        </w:tc>
        <w:tc>
          <w:tcPr>
            <w:shd w:val="clear" w:color="auto" w:fill="auto"/>
            <w:tcW w:w="1253" w:type="dxa"/>
            <w:vAlign w:val="center"/>
            <w:textDirection w:val="lrTb"/>
            <w:noWrap w:val="false"/>
          </w:tcPr>
          <w:p>
            <w:pPr>
              <w:ind w:firstLine="221"/>
              <w:rPr>
                <w:rFonts w:ascii="宋体" w:hAnsi="宋体" w:cs="宋体"/>
                <w:b/>
                <w:color w:val="000000"/>
                <w:sz w:val="22"/>
              </w:rPr>
            </w:pPr>
            <w:r>
              <w:rPr>
                <w:rFonts w:hint="eastAsia" w:ascii="宋体" w:hAnsi="宋体" w:cs="宋体"/>
                <w:b/>
                <w:color w:val="000000"/>
                <w:sz w:val="22"/>
              </w:rPr>
              <w:t xml:space="preserve">备注</w:t>
            </w:r>
            <w:r/>
          </w:p>
        </w:tc>
      </w:tr>
      <w:tr>
        <w:trPr>
          <w:trHeight w:val="90"/>
        </w:trPr>
        <w:tc>
          <w:tcPr>
            <w:shd w:val="clear" w:color="auto" w:fill="auto"/>
            <w:tcW w:w="1057" w:type="dxa"/>
            <w:vAlign w:val="center"/>
            <w:vMerge w:val="restart"/>
            <w:textDirection w:val="lrTb"/>
            <w:noWrap w:val="false"/>
          </w:tcPr>
          <w:p>
            <w:pPr>
              <w:jc w:val="center"/>
              <w:rPr>
                <w:rFonts w:ascii="宋体" w:hAnsi="宋体" w:cs="宋体"/>
                <w:b/>
                <w:color w:val="000000"/>
                <w:sz w:val="22"/>
              </w:rPr>
            </w:pPr>
            <w:r>
              <w:rPr>
                <w:rFonts w:hint="eastAsia" w:ascii="宋体" w:hAnsi="宋体" w:cs="宋体"/>
                <w:b/>
                <w:color w:val="000000"/>
                <w:sz w:val="22"/>
              </w:rPr>
              <w:t xml:space="preserve">网约车</w:t>
            </w:r>
            <w:r/>
          </w:p>
          <w:p>
            <w:pPr>
              <w:jc w:val="center"/>
              <w:rPr>
                <w:sz w:val="20"/>
                <w:szCs w:val="21"/>
              </w:rPr>
            </w:pPr>
            <w:r>
              <w:rPr>
                <w:sz w:val="20"/>
                <w:szCs w:val="21"/>
              </w:rPr>
            </w:r>
            <w:r/>
          </w:p>
          <w:p>
            <w:pPr>
              <w:jc w:val="center"/>
              <w:rPr>
                <w:sz w:val="20"/>
                <w:szCs w:val="21"/>
              </w:rPr>
            </w:pPr>
            <w:r>
              <w:rPr>
                <w:sz w:val="20"/>
                <w:szCs w:val="21"/>
              </w:rPr>
            </w:r>
            <w:r/>
          </w:p>
        </w:tc>
        <w:tc>
          <w:tcPr>
            <w:shd w:val="clear" w:color="auto" w:fill="auto"/>
            <w:tcW w:w="2223"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5座轿车</w:t>
            </w:r>
            <w:r/>
          </w:p>
        </w:tc>
        <w:tc>
          <w:tcPr>
            <w:shd w:val="clear" w:color="auto" w:fill="auto"/>
            <w:tcW w:w="1640" w:type="dxa"/>
            <w:vAlign w:val="center"/>
            <w:textDirection w:val="lrTb"/>
            <w:noWrap w:val="false"/>
          </w:tcPr>
          <w:p>
            <w:pPr>
              <w:ind w:firstLine="220"/>
              <w:rPr>
                <w:rFonts w:ascii="宋体" w:hAnsi="宋体" w:cs="宋体"/>
                <w:color w:val="000000"/>
                <w:sz w:val="22"/>
              </w:rPr>
            </w:pPr>
            <w:r>
              <w:rPr>
                <w:rFonts w:hint="eastAsia" w:ascii="宋体" w:hAnsi="宋体" w:cs="宋体"/>
                <w:color w:val="000000"/>
                <w:sz w:val="22"/>
              </w:rPr>
              <w:t xml:space="preserve">按照20分钟5元计费，不足20分钟按照20分钟计取。</w:t>
            </w:r>
            <w:r/>
          </w:p>
        </w:tc>
        <w:tc>
          <w:tcPr>
            <w:shd w:val="clear" w:color="auto" w:fill="auto"/>
            <w:tcW w:w="1640"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1.5元/公里</w:t>
            </w:r>
            <w:r/>
          </w:p>
        </w:tc>
        <w:tc>
          <w:tcPr>
            <w:shd w:val="clear" w:color="auto" w:fill="auto"/>
            <w:tcW w:w="2027" w:type="dxa"/>
            <w:vAlign w:val="center"/>
            <w:textDirection w:val="lrTb"/>
            <w:noWrap w:val="false"/>
          </w:tcPr>
          <w:p>
            <w:pPr>
              <w:ind w:firstLine="220"/>
              <w:rPr>
                <w:rFonts w:ascii="宋体" w:hAnsi="宋体" w:cs="宋体"/>
                <w:color w:val="000000"/>
                <w:sz w:val="22"/>
              </w:rPr>
            </w:pPr>
            <w:r>
              <w:rPr>
                <w:rFonts w:hint="eastAsia" w:ascii="宋体" w:hAnsi="宋体" w:cs="宋体"/>
                <w:color w:val="000000"/>
                <w:sz w:val="22"/>
              </w:rPr>
              <w:t xml:space="preserve">按实际执行计程单位运价加收50%。（空驶回程不含时长费。）</w:t>
            </w:r>
            <w:r/>
          </w:p>
        </w:tc>
        <w:tc>
          <w:tcPr>
            <w:shd w:val="clear" w:color="auto" w:fill="auto"/>
            <w:tcW w:w="1253" w:type="dxa"/>
            <w:vAlign w:val="center"/>
            <w:textDirection w:val="lrTb"/>
            <w:noWrap w:val="false"/>
          </w:tcPr>
          <w:p>
            <w:pPr>
              <w:ind w:firstLine="120"/>
              <w:jc w:val="center"/>
              <w:rPr>
                <w:rFonts w:ascii="宋体" w:hAnsi="宋体" w:cs="宋体"/>
                <w:color w:val="000000"/>
                <w:sz w:val="22"/>
              </w:rPr>
            </w:pPr>
            <w:r>
              <w:rPr>
                <w:rFonts w:ascii="宋体" w:hAnsi="宋体" w:cs="宋体"/>
                <w:color w:val="000000"/>
                <w:sz w:val="22"/>
              </w:rPr>
            </w:r>
            <w:r/>
          </w:p>
        </w:tc>
      </w:tr>
      <w:tr>
        <w:trPr>
          <w:trHeight w:val="1235"/>
        </w:trPr>
        <w:tc>
          <w:tcPr>
            <w:tcW w:w="1057" w:type="dxa"/>
            <w:vMerge w:val="continue"/>
            <w:textDirection w:val="lrTb"/>
            <w:noWrap w:val="false"/>
          </w:tcPr>
          <w:p>
            <w:pPr>
              <w:jc w:val="center"/>
              <w:rPr>
                <w:sz w:val="20"/>
                <w:szCs w:val="21"/>
              </w:rPr>
            </w:pPr>
            <w:r>
              <w:rPr>
                <w:sz w:val="20"/>
                <w:szCs w:val="21"/>
              </w:rPr>
            </w:r>
            <w:r/>
          </w:p>
        </w:tc>
        <w:tc>
          <w:tcPr>
            <w:shd w:val="clear" w:color="auto" w:fill="auto"/>
            <w:tcW w:w="2223"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6座-9座商务车</w:t>
            </w:r>
            <w:r/>
          </w:p>
        </w:tc>
        <w:tc>
          <w:tcPr>
            <w:shd w:val="clear" w:color="auto" w:fill="auto"/>
            <w:tcW w:w="1640" w:type="dxa"/>
            <w:vAlign w:val="center"/>
            <w:textDirection w:val="lrTb"/>
            <w:noWrap w:val="false"/>
          </w:tcPr>
          <w:p>
            <w:pPr>
              <w:ind w:firstLine="220"/>
              <w:rPr>
                <w:rFonts w:ascii="宋体" w:hAnsi="宋体" w:cs="宋体"/>
                <w:color w:val="000000"/>
                <w:sz w:val="22"/>
              </w:rPr>
            </w:pPr>
            <w:r>
              <w:rPr>
                <w:rFonts w:hint="eastAsia" w:ascii="宋体" w:hAnsi="宋体" w:cs="宋体"/>
                <w:color w:val="000000"/>
                <w:sz w:val="22"/>
              </w:rPr>
              <w:t xml:space="preserve">按照20分钟7元计费，不足20分钟按照20分钟计取。</w:t>
            </w:r>
            <w:r/>
          </w:p>
        </w:tc>
        <w:tc>
          <w:tcPr>
            <w:shd w:val="clear" w:color="auto" w:fill="auto"/>
            <w:tcW w:w="1640"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2.8元/公里</w:t>
            </w:r>
            <w:r/>
          </w:p>
        </w:tc>
        <w:tc>
          <w:tcPr>
            <w:shd w:val="clear" w:color="auto" w:fill="auto"/>
            <w:tcW w:w="2027" w:type="dxa"/>
            <w:vAlign w:val="center"/>
            <w:textDirection w:val="lrTb"/>
            <w:noWrap w:val="false"/>
          </w:tcPr>
          <w:p>
            <w:pPr>
              <w:ind w:firstLine="220"/>
              <w:rPr>
                <w:rFonts w:ascii="宋体" w:hAnsi="宋体" w:cs="宋体"/>
                <w:color w:val="000000"/>
                <w:sz w:val="22"/>
              </w:rPr>
            </w:pPr>
            <w:r>
              <w:rPr>
                <w:rFonts w:hint="eastAsia" w:ascii="宋体" w:hAnsi="宋体" w:cs="宋体"/>
                <w:color w:val="000000"/>
                <w:sz w:val="22"/>
              </w:rPr>
              <w:t xml:space="preserve">按实际执行计程单位运价加收50%。（空驶回程不含时长费。）</w:t>
            </w:r>
            <w:r/>
          </w:p>
        </w:tc>
        <w:tc>
          <w:tcPr>
            <w:shd w:val="clear" w:color="auto" w:fill="auto"/>
            <w:tcW w:w="1253" w:type="dxa"/>
            <w:vAlign w:val="center"/>
            <w:textDirection w:val="lrTb"/>
            <w:noWrap w:val="false"/>
          </w:tcPr>
          <w:p>
            <w:pPr>
              <w:ind w:firstLine="120"/>
              <w:jc w:val="center"/>
              <w:rPr>
                <w:rFonts w:ascii="宋体" w:hAnsi="宋体" w:cs="宋体"/>
                <w:color w:val="000000"/>
                <w:sz w:val="22"/>
              </w:rPr>
            </w:pPr>
            <w:r>
              <w:rPr>
                <w:rFonts w:ascii="宋体" w:hAnsi="宋体" w:cs="宋体"/>
                <w:color w:val="000000"/>
                <w:sz w:val="22"/>
              </w:rPr>
            </w:r>
            <w:r/>
          </w:p>
        </w:tc>
      </w:tr>
      <w:tr>
        <w:trPr>
          <w:trHeight w:val="1028"/>
        </w:trPr>
        <w:tc>
          <w:tcPr>
            <w:shd w:val="clear" w:color="auto" w:fill="auto"/>
            <w:tcW w:w="1057" w:type="dxa"/>
            <w:vAlign w:val="center"/>
            <w:textDirection w:val="lrTb"/>
            <w:noWrap w:val="false"/>
          </w:tcPr>
          <w:p>
            <w:pPr>
              <w:jc w:val="center"/>
              <w:rPr>
                <w:rFonts w:ascii="宋体" w:hAnsi="宋体" w:cs="宋体"/>
                <w:b/>
                <w:color w:val="000000"/>
                <w:sz w:val="22"/>
              </w:rPr>
            </w:pPr>
            <w:r>
              <w:rPr>
                <w:rFonts w:hint="eastAsia" w:ascii="宋体" w:hAnsi="宋体" w:cs="宋体"/>
                <w:b/>
                <w:color w:val="000000"/>
                <w:sz w:val="22"/>
              </w:rPr>
              <w:t xml:space="preserve">采购</w:t>
            </w:r>
            <w:r/>
          </w:p>
          <w:p>
            <w:pPr>
              <w:jc w:val="center"/>
              <w:rPr>
                <w:rFonts w:ascii="宋体" w:hAnsi="宋体" w:cs="宋体"/>
                <w:b/>
                <w:color w:val="000000"/>
                <w:sz w:val="24"/>
                <w:szCs w:val="24"/>
              </w:rPr>
            </w:pPr>
            <w:r>
              <w:rPr>
                <w:rFonts w:hint="eastAsia" w:ascii="宋体" w:hAnsi="宋体" w:cs="宋体"/>
                <w:b/>
                <w:color w:val="000000"/>
                <w:sz w:val="22"/>
              </w:rPr>
              <w:t xml:space="preserve">包3</w:t>
            </w:r>
            <w:r/>
          </w:p>
        </w:tc>
        <w:tc>
          <w:tcPr>
            <w:shd w:val="clear" w:color="auto" w:fill="auto"/>
            <w:tcW w:w="2223" w:type="dxa"/>
            <w:vAlign w:val="center"/>
            <w:textDirection w:val="lrTb"/>
            <w:noWrap w:val="false"/>
          </w:tcPr>
          <w:p>
            <w:pPr>
              <w:ind w:firstLine="200"/>
              <w:rPr>
                <w:rFonts w:ascii="宋体" w:hAnsi="宋体" w:cs="宋体"/>
                <w:b/>
                <w:bCs/>
                <w:color w:val="000000"/>
                <w:sz w:val="22"/>
              </w:rPr>
            </w:pPr>
            <w:r>
              <w:rPr>
                <w:rFonts w:hint="eastAsia" w:ascii="宋体" w:hAnsi="宋体" w:cs="宋体"/>
                <w:b/>
                <w:bCs/>
                <w:color w:val="000000"/>
                <w:sz w:val="22"/>
              </w:rPr>
              <w:t xml:space="preserve">车辆类型</w:t>
            </w:r>
            <w:r/>
          </w:p>
        </w:tc>
        <w:tc>
          <w:tcPr>
            <w:shd w:val="clear" w:color="auto" w:fill="auto"/>
            <w:tcW w:w="1640" w:type="dxa"/>
            <w:vAlign w:val="center"/>
            <w:textDirection w:val="lrTb"/>
            <w:noWrap w:val="false"/>
          </w:tcPr>
          <w:p>
            <w:pPr>
              <w:rPr>
                <w:rFonts w:ascii="宋体" w:hAnsi="宋体" w:cs="宋体"/>
                <w:b/>
                <w:bCs/>
                <w:color w:val="000000"/>
                <w:sz w:val="22"/>
              </w:rPr>
            </w:pPr>
            <w:r>
              <w:rPr>
                <w:rFonts w:hint="eastAsia" w:ascii="宋体" w:hAnsi="宋体" w:cs="宋体"/>
                <w:b/>
                <w:bCs/>
                <w:color w:val="000000"/>
                <w:sz w:val="22"/>
              </w:rPr>
              <w:t xml:space="preserve">半日租（4小时/50公里）</w:t>
            </w:r>
            <w:r/>
          </w:p>
        </w:tc>
        <w:tc>
          <w:tcPr>
            <w:shd w:val="clear" w:color="auto" w:fill="auto"/>
            <w:tcW w:w="1640" w:type="dxa"/>
            <w:vAlign w:val="center"/>
            <w:textDirection w:val="lrTb"/>
            <w:noWrap w:val="false"/>
          </w:tcPr>
          <w:p>
            <w:pPr>
              <w:rPr>
                <w:rFonts w:ascii="宋体" w:hAnsi="宋体" w:cs="宋体"/>
                <w:b/>
                <w:bCs/>
                <w:color w:val="000000"/>
                <w:sz w:val="22"/>
              </w:rPr>
            </w:pPr>
            <w:r>
              <w:rPr>
                <w:rFonts w:hint="eastAsia" w:ascii="宋体" w:hAnsi="宋体" w:cs="宋体"/>
                <w:b/>
                <w:bCs/>
                <w:color w:val="000000"/>
                <w:sz w:val="22"/>
              </w:rPr>
              <w:t xml:space="preserve">日租（8小时/100公里）</w:t>
            </w:r>
            <w:r/>
          </w:p>
        </w:tc>
        <w:tc>
          <w:tcPr>
            <w:shd w:val="clear" w:color="auto" w:fill="auto"/>
            <w:tcW w:w="2027" w:type="dxa"/>
            <w:vAlign w:val="center"/>
            <w:textDirection w:val="lrTb"/>
            <w:noWrap w:val="false"/>
          </w:tcPr>
          <w:p>
            <w:pPr>
              <w:rPr>
                <w:rFonts w:ascii="宋体" w:hAnsi="宋体" w:cs="宋体"/>
                <w:b/>
                <w:bCs/>
                <w:color w:val="000000"/>
                <w:sz w:val="22"/>
              </w:rPr>
            </w:pPr>
            <w:r>
              <w:rPr>
                <w:rFonts w:hint="eastAsia" w:ascii="宋体" w:hAnsi="宋体" w:cs="宋体"/>
                <w:b/>
                <w:bCs/>
                <w:color w:val="000000"/>
                <w:sz w:val="24"/>
                <w:szCs w:val="24"/>
              </w:rPr>
              <w:t xml:space="preserve">超时（元/小时）</w:t>
            </w:r>
            <w:r/>
          </w:p>
        </w:tc>
        <w:tc>
          <w:tcPr>
            <w:shd w:val="clear" w:color="auto" w:fill="auto"/>
            <w:tcW w:w="1253" w:type="dxa"/>
            <w:vAlign w:val="center"/>
            <w:textDirection w:val="lrTb"/>
            <w:noWrap w:val="false"/>
          </w:tcPr>
          <w:p>
            <w:pPr>
              <w:rPr>
                <w:rFonts w:ascii="宋体" w:hAnsi="宋体" w:cs="宋体"/>
                <w:b/>
                <w:bCs/>
                <w:color w:val="000000"/>
                <w:sz w:val="22"/>
              </w:rPr>
            </w:pPr>
            <w:r>
              <w:rPr>
                <w:rFonts w:hint="eastAsia" w:ascii="宋体" w:hAnsi="宋体" w:cs="宋体"/>
                <w:b/>
                <w:bCs/>
                <w:color w:val="000000"/>
                <w:sz w:val="22"/>
              </w:rPr>
              <w:t xml:space="preserve">超公里</w:t>
            </w:r>
            <w:r/>
          </w:p>
          <w:p>
            <w:pPr>
              <w:rPr>
                <w:rFonts w:ascii="宋体" w:hAnsi="宋体" w:cs="宋体"/>
                <w:b/>
                <w:bCs/>
                <w:color w:val="000000"/>
                <w:sz w:val="22"/>
              </w:rPr>
            </w:pPr>
            <w:r>
              <w:rPr>
                <w:rFonts w:hint="eastAsia" w:ascii="宋体" w:hAnsi="宋体" w:cs="宋体"/>
                <w:b/>
                <w:bCs/>
                <w:color w:val="000000"/>
                <w:sz w:val="22"/>
              </w:rPr>
              <w:t xml:space="preserve">（元/公里）</w:t>
            </w:r>
            <w:r/>
          </w:p>
        </w:tc>
      </w:tr>
      <w:tr>
        <w:trPr>
          <w:trHeight w:val="953"/>
        </w:trPr>
        <w:tc>
          <w:tcPr>
            <w:shd w:val="clear" w:color="auto" w:fill="auto"/>
            <w:tcW w:w="1057" w:type="dxa"/>
            <w:vAlign w:val="center"/>
            <w:vMerge w:val="restart"/>
            <w:textDirection w:val="lrTb"/>
            <w:noWrap w:val="false"/>
          </w:tcPr>
          <w:p>
            <w:pPr>
              <w:jc w:val="center"/>
              <w:rPr>
                <w:rFonts w:ascii="宋体" w:hAnsi="宋体" w:cs="宋体"/>
                <w:b/>
                <w:color w:val="000000"/>
                <w:sz w:val="22"/>
              </w:rPr>
            </w:pPr>
            <w:r>
              <w:rPr>
                <w:rFonts w:ascii="宋体" w:hAnsi="宋体" w:cs="宋体"/>
                <w:b/>
                <w:color w:val="000000"/>
                <w:sz w:val="22"/>
              </w:rPr>
            </w:r>
            <w:r/>
          </w:p>
          <w:p>
            <w:pPr>
              <w:jc w:val="center"/>
              <w:rPr>
                <w:rFonts w:ascii="宋体" w:hAnsi="宋体" w:cs="宋体"/>
                <w:b/>
                <w:color w:val="000000"/>
                <w:sz w:val="22"/>
              </w:rPr>
            </w:pPr>
            <w:r>
              <w:rPr>
                <w:rFonts w:ascii="宋体" w:hAnsi="宋体" w:cs="宋体"/>
                <w:b/>
                <w:color w:val="000000"/>
                <w:sz w:val="22"/>
              </w:rPr>
            </w:r>
            <w:r/>
          </w:p>
          <w:p>
            <w:pPr>
              <w:jc w:val="center"/>
              <w:rPr>
                <w:rFonts w:ascii="宋体" w:hAnsi="宋体" w:cs="宋体"/>
                <w:b/>
                <w:color w:val="000000"/>
                <w:sz w:val="22"/>
              </w:rPr>
            </w:pPr>
            <w:r>
              <w:rPr>
                <w:rFonts w:ascii="宋体" w:hAnsi="宋体" w:cs="宋体"/>
                <w:b/>
                <w:color w:val="000000"/>
                <w:sz w:val="22"/>
              </w:rPr>
            </w:r>
            <w:r/>
          </w:p>
          <w:p>
            <w:pPr>
              <w:jc w:val="center"/>
              <w:rPr>
                <w:rFonts w:ascii="宋体" w:hAnsi="宋体" w:cs="宋体"/>
                <w:b/>
                <w:color w:val="000000"/>
                <w:sz w:val="22"/>
              </w:rPr>
            </w:pPr>
            <w:r>
              <w:rPr>
                <w:rFonts w:hint="eastAsia" w:ascii="宋体" w:hAnsi="宋体" w:cs="宋体"/>
                <w:b/>
                <w:color w:val="000000"/>
                <w:sz w:val="22"/>
              </w:rPr>
              <w:t xml:space="preserve">市际</w:t>
            </w:r>
            <w:r/>
          </w:p>
          <w:p>
            <w:pPr>
              <w:jc w:val="center"/>
              <w:rPr>
                <w:rFonts w:ascii="宋体" w:hAnsi="宋体" w:cs="宋体"/>
                <w:b/>
                <w:color w:val="000000"/>
                <w:sz w:val="22"/>
              </w:rPr>
            </w:pPr>
            <w:r>
              <w:rPr>
                <w:rFonts w:hint="eastAsia" w:ascii="宋体" w:hAnsi="宋体" w:cs="宋体"/>
                <w:b/>
                <w:color w:val="000000"/>
                <w:sz w:val="22"/>
              </w:rPr>
              <w:t xml:space="preserve">及以上</w:t>
            </w:r>
            <w:r/>
          </w:p>
          <w:p>
            <w:pPr>
              <w:jc w:val="center"/>
              <w:rPr>
                <w:rFonts w:ascii="宋体" w:hAnsi="宋体" w:cs="宋体"/>
                <w:color w:val="000000"/>
                <w:sz w:val="24"/>
                <w:szCs w:val="24"/>
              </w:rPr>
            </w:pPr>
            <w:r>
              <w:rPr>
                <w:rFonts w:ascii="宋体" w:hAnsi="宋体" w:cs="宋体"/>
                <w:color w:val="000000"/>
                <w:sz w:val="24"/>
                <w:szCs w:val="24"/>
              </w:rPr>
            </w:r>
            <w:r/>
          </w:p>
          <w:p>
            <w:pPr>
              <w:ind w:firstLine="120"/>
              <w:jc w:val="center"/>
              <w:rPr>
                <w:rFonts w:ascii="宋体" w:hAnsi="宋体" w:cs="宋体"/>
                <w:b/>
                <w:color w:val="000000"/>
                <w:sz w:val="24"/>
                <w:szCs w:val="24"/>
              </w:rPr>
            </w:pPr>
            <w:r>
              <w:rPr>
                <w:rFonts w:ascii="宋体" w:hAnsi="宋体" w:cs="宋体"/>
                <w:b/>
                <w:color w:val="000000"/>
                <w:sz w:val="24"/>
                <w:szCs w:val="24"/>
              </w:rPr>
            </w:r>
            <w:r/>
          </w:p>
          <w:p>
            <w:pPr>
              <w:jc w:val="center"/>
            </w:pPr>
            <w:r/>
            <w:r/>
          </w:p>
        </w:tc>
        <w:tc>
          <w:tcPr>
            <w:shd w:val="clear" w:color="auto" w:fill="auto"/>
            <w:tcW w:w="2223" w:type="dxa"/>
            <w:vAlign w:val="center"/>
            <w:textDirection w:val="lrTb"/>
            <w:noWrap w:val="false"/>
          </w:tcPr>
          <w:p>
            <w:pPr>
              <w:ind w:firstLine="120"/>
              <w:rPr>
                <w:rFonts w:ascii="宋体" w:hAnsi="宋体" w:cs="宋体"/>
                <w:color w:val="000000"/>
                <w:sz w:val="22"/>
              </w:rPr>
            </w:pPr>
            <w:r>
              <w:rPr>
                <w:rFonts w:hint="eastAsia" w:ascii="宋体" w:hAnsi="宋体" w:cs="宋体"/>
                <w:color w:val="000000"/>
                <w:sz w:val="22"/>
              </w:rPr>
              <w:t xml:space="preserve">9座（不含）至23座（含）客车（含新能源汽车）</w:t>
            </w:r>
            <w:r/>
          </w:p>
        </w:tc>
        <w:tc>
          <w:tcPr>
            <w:shd w:val="clear" w:color="auto" w:fill="auto"/>
            <w:tcW w:w="1640"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630</w:t>
            </w:r>
            <w:r/>
          </w:p>
        </w:tc>
        <w:tc>
          <w:tcPr>
            <w:shd w:val="clear" w:color="auto" w:fill="auto"/>
            <w:tcW w:w="1640"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900</w:t>
            </w:r>
            <w:r/>
          </w:p>
        </w:tc>
        <w:tc>
          <w:tcPr>
            <w:shd w:val="clear" w:color="auto" w:fill="auto"/>
            <w:tcW w:w="2027"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50</w:t>
            </w:r>
            <w:r/>
          </w:p>
        </w:tc>
        <w:tc>
          <w:tcPr>
            <w:shd w:val="clear" w:color="auto" w:fill="auto"/>
            <w:tcW w:w="1253"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4.5</w:t>
            </w:r>
            <w:r/>
          </w:p>
        </w:tc>
      </w:tr>
      <w:tr>
        <w:trPr>
          <w:trHeight w:val="955"/>
        </w:trPr>
        <w:tc>
          <w:tcPr>
            <w:tcW w:w="1057" w:type="dxa"/>
            <w:vMerge w:val="continue"/>
            <w:textDirection w:val="lrTb"/>
            <w:noWrap w:val="false"/>
          </w:tcPr>
          <w:p>
            <w:pPr>
              <w:jc w:val="center"/>
            </w:pPr>
            <w:r/>
            <w:r/>
          </w:p>
        </w:tc>
        <w:tc>
          <w:tcPr>
            <w:shd w:val="clear" w:color="auto" w:fill="auto"/>
            <w:tcW w:w="2223"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23座（不含）至45座（不含）大型客车（含新能源汽车）</w:t>
            </w:r>
            <w:r/>
          </w:p>
        </w:tc>
        <w:tc>
          <w:tcPr>
            <w:shd w:val="clear" w:color="auto" w:fill="auto"/>
            <w:tcW w:w="1640"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680</w:t>
            </w:r>
            <w:r/>
          </w:p>
        </w:tc>
        <w:tc>
          <w:tcPr>
            <w:shd w:val="clear" w:color="auto" w:fill="auto"/>
            <w:tcW w:w="1640"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960</w:t>
            </w:r>
            <w:r/>
          </w:p>
        </w:tc>
        <w:tc>
          <w:tcPr>
            <w:shd w:val="clear" w:color="auto" w:fill="auto"/>
            <w:tcW w:w="2027"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50</w:t>
            </w:r>
            <w:r/>
          </w:p>
        </w:tc>
        <w:tc>
          <w:tcPr>
            <w:shd w:val="clear" w:color="auto" w:fill="auto"/>
            <w:tcW w:w="1253"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4.5</w:t>
            </w:r>
            <w:r/>
          </w:p>
        </w:tc>
      </w:tr>
      <w:tr>
        <w:trPr>
          <w:trHeight w:val="910"/>
        </w:trPr>
        <w:tc>
          <w:tcPr>
            <w:tcW w:w="1057" w:type="dxa"/>
            <w:vMerge w:val="continue"/>
            <w:textDirection w:val="lrTb"/>
            <w:noWrap w:val="false"/>
          </w:tcPr>
          <w:p>
            <w:pPr>
              <w:jc w:val="center"/>
            </w:pPr>
            <w:r/>
            <w:r/>
          </w:p>
        </w:tc>
        <w:tc>
          <w:tcPr>
            <w:shd w:val="clear" w:color="auto" w:fill="auto"/>
            <w:tcW w:w="2223" w:type="dxa"/>
            <w:vAlign w:val="center"/>
            <w:textDirection w:val="lrTb"/>
            <w:noWrap w:val="false"/>
          </w:tcPr>
          <w:p>
            <w:pPr>
              <w:rPr>
                <w:rFonts w:ascii="宋体" w:hAnsi="宋体" w:cs="宋体"/>
                <w:color w:val="000000"/>
                <w:sz w:val="22"/>
              </w:rPr>
            </w:pPr>
            <w:r>
              <w:rPr>
                <w:rFonts w:hint="eastAsia" w:ascii="宋体" w:hAnsi="宋体" w:cs="宋体"/>
                <w:color w:val="000000"/>
                <w:sz w:val="22"/>
              </w:rPr>
              <w:t xml:space="preserve">45座（含）以上大型客车（含新能源汽车）</w:t>
            </w:r>
            <w:r/>
          </w:p>
        </w:tc>
        <w:tc>
          <w:tcPr>
            <w:shd w:val="clear" w:color="auto" w:fill="auto"/>
            <w:tcW w:w="1640"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700</w:t>
            </w:r>
            <w:r/>
          </w:p>
        </w:tc>
        <w:tc>
          <w:tcPr>
            <w:shd w:val="clear" w:color="auto" w:fill="auto"/>
            <w:tcW w:w="1640"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1000</w:t>
            </w:r>
            <w:r/>
          </w:p>
        </w:tc>
        <w:tc>
          <w:tcPr>
            <w:shd w:val="clear" w:color="auto" w:fill="auto"/>
            <w:tcW w:w="2027"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50</w:t>
            </w:r>
            <w:r/>
          </w:p>
        </w:tc>
        <w:tc>
          <w:tcPr>
            <w:shd w:val="clear" w:color="auto" w:fill="auto"/>
            <w:tcW w:w="1253" w:type="dxa"/>
            <w:vAlign w:val="center"/>
            <w:textDirection w:val="lrTb"/>
            <w:noWrap w:val="false"/>
          </w:tcPr>
          <w:p>
            <w:pPr>
              <w:ind w:firstLine="120"/>
              <w:jc w:val="center"/>
              <w:rPr>
                <w:rFonts w:ascii="宋体" w:hAnsi="宋体" w:cs="宋体"/>
                <w:color w:val="000000"/>
                <w:sz w:val="22"/>
              </w:rPr>
            </w:pPr>
            <w:r>
              <w:rPr>
                <w:rFonts w:hint="eastAsia" w:ascii="宋体" w:hAnsi="宋体" w:cs="宋体"/>
                <w:color w:val="000000"/>
                <w:sz w:val="22"/>
              </w:rPr>
              <w:t xml:space="preserve">5</w:t>
            </w:r>
            <w:r/>
          </w:p>
        </w:tc>
      </w:tr>
      <w:tr>
        <w:trPr>
          <w:trHeight w:val="862"/>
        </w:trPr>
        <w:tc>
          <w:tcPr>
            <w:shd w:val="clear" w:color="auto" w:fill="auto"/>
            <w:tcW w:w="1057" w:type="dxa"/>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采购</w:t>
            </w:r>
            <w:r/>
          </w:p>
          <w:p>
            <w:pPr>
              <w:jc w:val="center"/>
              <w:rPr>
                <w:rFonts w:ascii="宋体" w:hAnsi="宋体" w:cs="宋体"/>
                <w:b/>
                <w:color w:val="000000"/>
                <w:sz w:val="24"/>
                <w:szCs w:val="24"/>
              </w:rPr>
            </w:pPr>
            <w:r>
              <w:rPr>
                <w:rFonts w:hint="eastAsia" w:ascii="宋体" w:hAnsi="宋体" w:cs="宋体"/>
                <w:b/>
                <w:color w:val="000000"/>
                <w:sz w:val="24"/>
                <w:szCs w:val="24"/>
              </w:rPr>
              <w:t xml:space="preserve">包</w:t>
            </w:r>
            <w:r>
              <w:rPr>
                <w:rFonts w:ascii="宋体" w:hAnsi="宋体" w:cs="宋体"/>
                <w:b/>
                <w:color w:val="000000"/>
                <w:sz w:val="24"/>
                <w:szCs w:val="24"/>
              </w:rPr>
              <w:t xml:space="preserve">4</w:t>
            </w:r>
            <w:r/>
          </w:p>
        </w:tc>
        <w:tc>
          <w:tcPr>
            <w:shd w:val="clear" w:color="auto" w:fill="auto"/>
            <w:tcW w:w="2223" w:type="dxa"/>
            <w:vAlign w:val="center"/>
            <w:textDirection w:val="lrTb"/>
            <w:noWrap w:val="false"/>
          </w:tcPr>
          <w:p>
            <w:pPr>
              <w:ind w:firstLine="470"/>
              <w:rPr>
                <w:rFonts w:ascii="宋体" w:hAnsi="宋体" w:cs="宋体"/>
                <w:b/>
                <w:bCs/>
                <w:color w:val="000000"/>
                <w:sz w:val="24"/>
                <w:szCs w:val="24"/>
              </w:rPr>
            </w:pPr>
            <w:r>
              <w:rPr>
                <w:rFonts w:hint="eastAsia" w:ascii="宋体" w:hAnsi="宋体" w:cs="宋体"/>
                <w:b/>
                <w:bCs/>
                <w:color w:val="000000"/>
                <w:sz w:val="24"/>
                <w:szCs w:val="24"/>
              </w:rPr>
              <w:t xml:space="preserve">车辆类型</w:t>
            </w:r>
            <w:r/>
          </w:p>
        </w:tc>
        <w:tc>
          <w:tcPr>
            <w:shd w:val="clear" w:color="auto" w:fill="auto"/>
            <w:tcW w:w="1640" w:type="dxa"/>
            <w:vAlign w:val="center"/>
            <w:textDirection w:val="lrTb"/>
            <w:noWrap w:val="false"/>
          </w:tcPr>
          <w:p>
            <w:pPr>
              <w:rPr>
                <w:rFonts w:ascii="宋体" w:hAnsi="宋体" w:cs="宋体"/>
                <w:b/>
                <w:bCs/>
                <w:color w:val="000000"/>
                <w:sz w:val="22"/>
              </w:rPr>
            </w:pPr>
            <w:r>
              <w:rPr>
                <w:rFonts w:hint="eastAsia" w:ascii="宋体" w:hAnsi="宋体" w:cs="宋体"/>
                <w:b/>
                <w:bCs/>
                <w:color w:val="000000"/>
                <w:sz w:val="22"/>
              </w:rPr>
              <w:t xml:space="preserve">半日租（4小时/50公里）</w:t>
            </w:r>
            <w:r/>
          </w:p>
        </w:tc>
        <w:tc>
          <w:tcPr>
            <w:shd w:val="clear" w:color="auto" w:fill="auto"/>
            <w:tcW w:w="1640" w:type="dxa"/>
            <w:vAlign w:val="center"/>
            <w:textDirection w:val="lrTb"/>
            <w:noWrap w:val="false"/>
          </w:tcPr>
          <w:p>
            <w:pPr>
              <w:rPr>
                <w:rFonts w:ascii="宋体" w:hAnsi="宋体" w:cs="宋体"/>
                <w:b/>
                <w:bCs/>
                <w:color w:val="000000"/>
                <w:sz w:val="22"/>
              </w:rPr>
            </w:pPr>
            <w:r>
              <w:rPr>
                <w:rFonts w:hint="eastAsia" w:ascii="宋体" w:hAnsi="宋体" w:cs="宋体"/>
                <w:b/>
                <w:bCs/>
                <w:color w:val="000000"/>
                <w:sz w:val="22"/>
              </w:rPr>
              <w:t xml:space="preserve">日租（8小时/100公里）</w:t>
            </w:r>
            <w:r/>
          </w:p>
        </w:tc>
        <w:tc>
          <w:tcPr>
            <w:shd w:val="clear" w:color="auto" w:fill="auto"/>
            <w:tcW w:w="2027" w:type="dxa"/>
            <w:vAlign w:val="center"/>
            <w:textDirection w:val="lrTb"/>
            <w:noWrap w:val="false"/>
          </w:tcPr>
          <w:p>
            <w:pPr>
              <w:rPr>
                <w:rFonts w:ascii="宋体" w:hAnsi="宋体" w:cs="宋体"/>
                <w:b/>
                <w:bCs/>
                <w:color w:val="000000"/>
                <w:sz w:val="22"/>
              </w:rPr>
            </w:pPr>
            <w:r>
              <w:rPr>
                <w:rFonts w:hint="eastAsia" w:ascii="宋体" w:hAnsi="宋体" w:cs="宋体"/>
                <w:b/>
                <w:bCs/>
                <w:color w:val="000000"/>
                <w:sz w:val="22"/>
              </w:rPr>
              <w:t xml:space="preserve">超时（元/小时）</w:t>
            </w:r>
            <w:r/>
          </w:p>
        </w:tc>
        <w:tc>
          <w:tcPr>
            <w:shd w:val="clear" w:color="auto" w:fill="auto"/>
            <w:tcW w:w="1253" w:type="dxa"/>
            <w:vAlign w:val="center"/>
            <w:textDirection w:val="lrTb"/>
            <w:noWrap w:val="false"/>
          </w:tcPr>
          <w:p>
            <w:pPr>
              <w:rPr>
                <w:rFonts w:ascii="宋体" w:hAnsi="宋体" w:cs="宋体"/>
                <w:b/>
                <w:bCs/>
                <w:color w:val="000000"/>
                <w:sz w:val="22"/>
              </w:rPr>
            </w:pPr>
            <w:r>
              <w:rPr>
                <w:rFonts w:hint="eastAsia" w:ascii="宋体" w:hAnsi="宋体" w:cs="宋体"/>
                <w:b/>
                <w:bCs/>
                <w:color w:val="000000"/>
                <w:sz w:val="22"/>
              </w:rPr>
              <w:t xml:space="preserve">超公里（元/公里）</w:t>
            </w:r>
            <w:r/>
          </w:p>
        </w:tc>
      </w:tr>
      <w:tr>
        <w:trPr>
          <w:trHeight w:val="90"/>
        </w:trPr>
        <w:tc>
          <w:tcPr>
            <w:shd w:val="clear" w:color="auto" w:fill="auto"/>
            <w:tcW w:w="1057" w:type="dxa"/>
            <w:vAlign w:val="center"/>
            <w:vMerge w:val="restart"/>
            <w:textDirection w:val="lrTb"/>
            <w:noWrap w:val="false"/>
          </w:tcPr>
          <w:p>
            <w:pPr>
              <w:jc w:val="center"/>
              <w:rPr>
                <w:rFonts w:ascii="宋体" w:hAnsi="宋体" w:cs="宋体"/>
                <w:b/>
                <w:color w:val="000000"/>
                <w:sz w:val="22"/>
                <w:szCs w:val="24"/>
              </w:rPr>
            </w:pPr>
            <w:r>
              <w:rPr>
                <w:rFonts w:hint="eastAsia" w:ascii="宋体" w:hAnsi="宋体" w:cs="宋体"/>
                <w:b/>
                <w:sz w:val="22"/>
                <w:szCs w:val="24"/>
              </w:rPr>
              <w:t xml:space="preserve">（县内及以上包车客运或公交客运[仅提供定制公交和点呼公交客运服务]）</w:t>
            </w:r>
            <w:r/>
          </w:p>
          <w:p>
            <w:pPr>
              <w:ind w:firstLine="120"/>
              <w:jc w:val="center"/>
              <w:rPr>
                <w:rFonts w:ascii="宋体" w:hAnsi="宋体" w:cs="宋体"/>
                <w:b/>
                <w:color w:val="000000"/>
                <w:sz w:val="24"/>
                <w:szCs w:val="24"/>
              </w:rPr>
            </w:pPr>
            <w:r>
              <w:rPr>
                <w:rFonts w:ascii="宋体" w:hAnsi="宋体" w:cs="宋体"/>
                <w:b/>
                <w:color w:val="000000"/>
                <w:sz w:val="24"/>
                <w:szCs w:val="24"/>
              </w:rPr>
            </w:r>
            <w:r/>
          </w:p>
          <w:p>
            <w:pPr>
              <w:jc w:val="center"/>
            </w:pPr>
            <w:r/>
            <w:r/>
          </w:p>
        </w:tc>
        <w:tc>
          <w:tcPr>
            <w:shd w:val="clear" w:color="auto" w:fill="auto"/>
            <w:tcW w:w="222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9座（不含）至23座（含）客车</w:t>
            </w:r>
            <w:r/>
          </w:p>
          <w:p>
            <w:pPr>
              <w:jc w:val="center"/>
              <w:spacing w:after="100" w:line="259" w:lineRule="auto"/>
              <w:widowControl/>
              <w:rPr>
                <w:rFonts w:ascii="宋体" w:hAnsi="宋体" w:cs="宋体"/>
                <w:color w:val="000000"/>
                <w:szCs w:val="21"/>
              </w:rPr>
            </w:pPr>
            <w:r>
              <w:rPr>
                <w:rFonts w:hint="eastAsia" w:ascii="宋体" w:hAnsi="宋体" w:cs="宋体"/>
                <w:color w:val="000000"/>
                <w:szCs w:val="21"/>
              </w:rPr>
              <w:t xml:space="preserve">（含新能源汽车）</w:t>
            </w:r>
            <w:r/>
          </w:p>
        </w:tc>
        <w:tc>
          <w:tcPr>
            <w:shd w:val="clear" w:color="auto" w:fill="auto"/>
            <w:tcW w:w="164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630</w:t>
            </w:r>
            <w:r/>
          </w:p>
        </w:tc>
        <w:tc>
          <w:tcPr>
            <w:shd w:val="clear" w:color="auto" w:fill="auto"/>
            <w:tcW w:w="164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900</w:t>
            </w:r>
            <w:r/>
          </w:p>
        </w:tc>
        <w:tc>
          <w:tcPr>
            <w:shd w:val="clear" w:color="auto" w:fill="auto"/>
            <w:tcW w:w="2027" w:type="dxa"/>
            <w:vAlign w:val="center"/>
            <w:textDirection w:val="lrTb"/>
            <w:noWrap w:val="false"/>
          </w:tcPr>
          <w:p>
            <w:pPr>
              <w:ind w:firstLine="200"/>
              <w:jc w:val="center"/>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W w:w="1253" w:type="dxa"/>
            <w:vAlign w:val="center"/>
            <w:textDirection w:val="lrTb"/>
            <w:noWrap w:val="false"/>
          </w:tcPr>
          <w:p>
            <w:pPr>
              <w:ind w:firstLine="200"/>
              <w:jc w:val="center"/>
              <w:rPr>
                <w:rFonts w:ascii="宋体" w:hAnsi="宋体" w:cs="宋体"/>
                <w:color w:val="000000"/>
                <w:sz w:val="24"/>
                <w:szCs w:val="24"/>
              </w:rPr>
            </w:pPr>
            <w:r>
              <w:rPr>
                <w:rFonts w:hint="eastAsia" w:ascii="宋体" w:hAnsi="宋体" w:cs="宋体"/>
                <w:color w:val="000000"/>
                <w:sz w:val="24"/>
                <w:szCs w:val="24"/>
              </w:rPr>
              <w:t xml:space="preserve">4.5</w:t>
            </w:r>
            <w:r/>
          </w:p>
        </w:tc>
      </w:tr>
      <w:tr>
        <w:trPr>
          <w:trHeight w:val="1153"/>
        </w:trPr>
        <w:tc>
          <w:tcPr>
            <w:tcW w:w="1057" w:type="dxa"/>
            <w:vMerge w:val="continue"/>
            <w:textDirection w:val="lrTb"/>
            <w:noWrap w:val="false"/>
          </w:tcPr>
          <w:p>
            <w:r/>
            <w:r/>
          </w:p>
        </w:tc>
        <w:tc>
          <w:tcPr>
            <w:shd w:val="clear" w:color="auto" w:fill="auto"/>
            <w:tcW w:w="222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23座（不含）至45座（不含）大型客车</w:t>
            </w:r>
            <w:r/>
          </w:p>
          <w:p>
            <w:pPr>
              <w:jc w:val="center"/>
              <w:rPr>
                <w:rFonts w:ascii="宋体" w:hAnsi="宋体" w:cs="宋体"/>
                <w:color w:val="000000"/>
                <w:szCs w:val="21"/>
              </w:rPr>
            </w:pPr>
            <w:r>
              <w:rPr>
                <w:rFonts w:hint="eastAsia" w:ascii="宋体" w:hAnsi="宋体" w:cs="宋体"/>
                <w:color w:val="000000"/>
                <w:szCs w:val="21"/>
              </w:rPr>
              <w:t xml:space="preserve">（含新能源汽车）</w:t>
            </w:r>
            <w:r/>
          </w:p>
        </w:tc>
        <w:tc>
          <w:tcPr>
            <w:shd w:val="clear" w:color="auto" w:fill="auto"/>
            <w:tcW w:w="164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680</w:t>
            </w:r>
            <w:r/>
          </w:p>
        </w:tc>
        <w:tc>
          <w:tcPr>
            <w:shd w:val="clear" w:color="auto" w:fill="auto"/>
            <w:tcW w:w="164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960</w:t>
            </w:r>
            <w:r/>
          </w:p>
        </w:tc>
        <w:tc>
          <w:tcPr>
            <w:shd w:val="clear" w:color="auto" w:fill="auto"/>
            <w:tcW w:w="2027" w:type="dxa"/>
            <w:vAlign w:val="center"/>
            <w:textDirection w:val="lrTb"/>
            <w:noWrap w:val="false"/>
          </w:tcPr>
          <w:p>
            <w:pPr>
              <w:ind w:firstLine="200"/>
              <w:jc w:val="center"/>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W w:w="1253" w:type="dxa"/>
            <w:vAlign w:val="center"/>
            <w:textDirection w:val="lrTb"/>
            <w:noWrap w:val="false"/>
          </w:tcPr>
          <w:p>
            <w:pPr>
              <w:ind w:firstLine="200"/>
              <w:jc w:val="center"/>
              <w:rPr>
                <w:rFonts w:ascii="宋体" w:hAnsi="宋体" w:cs="宋体"/>
                <w:color w:val="000000"/>
                <w:sz w:val="24"/>
                <w:szCs w:val="24"/>
              </w:rPr>
            </w:pPr>
            <w:r>
              <w:rPr>
                <w:rFonts w:hint="eastAsia" w:ascii="宋体" w:hAnsi="宋体" w:cs="宋体"/>
                <w:color w:val="000000"/>
                <w:sz w:val="24"/>
                <w:szCs w:val="24"/>
              </w:rPr>
              <w:t xml:space="preserve">4.5</w:t>
            </w:r>
            <w:r/>
          </w:p>
        </w:tc>
      </w:tr>
      <w:tr>
        <w:trPr>
          <w:trHeight w:val="1208"/>
        </w:trPr>
        <w:tc>
          <w:tcPr>
            <w:tcW w:w="1057" w:type="dxa"/>
            <w:vMerge w:val="continue"/>
            <w:textDirection w:val="lrTb"/>
            <w:noWrap w:val="false"/>
          </w:tcPr>
          <w:p>
            <w:r/>
            <w:r/>
          </w:p>
        </w:tc>
        <w:tc>
          <w:tcPr>
            <w:shd w:val="clear" w:color="auto" w:fill="auto"/>
            <w:tcW w:w="222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45座（含）以上大型客车（含新能源汽车）</w:t>
            </w:r>
            <w:r/>
          </w:p>
        </w:tc>
        <w:tc>
          <w:tcPr>
            <w:shd w:val="clear" w:color="auto" w:fill="auto"/>
            <w:tcW w:w="164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700</w:t>
            </w:r>
            <w:r/>
          </w:p>
        </w:tc>
        <w:tc>
          <w:tcPr>
            <w:shd w:val="clear" w:color="auto" w:fill="auto"/>
            <w:tcW w:w="164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1000</w:t>
            </w:r>
            <w:r/>
          </w:p>
        </w:tc>
        <w:tc>
          <w:tcPr>
            <w:shd w:val="clear" w:color="auto" w:fill="auto"/>
            <w:tcW w:w="2027" w:type="dxa"/>
            <w:vAlign w:val="center"/>
            <w:textDirection w:val="lrTb"/>
            <w:noWrap w:val="false"/>
          </w:tcPr>
          <w:p>
            <w:pPr>
              <w:ind w:firstLine="200"/>
              <w:jc w:val="center"/>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W w:w="1253" w:type="dxa"/>
            <w:vAlign w:val="center"/>
            <w:textDirection w:val="lrTb"/>
            <w:noWrap w:val="false"/>
          </w:tcPr>
          <w:p>
            <w:pPr>
              <w:ind w:firstLine="200"/>
              <w:jc w:val="center"/>
              <w:rPr>
                <w:rFonts w:ascii="宋体" w:hAnsi="宋体" w:cs="宋体"/>
                <w:color w:val="000000"/>
                <w:sz w:val="24"/>
                <w:szCs w:val="24"/>
              </w:rPr>
            </w:pPr>
            <w:r>
              <w:rPr>
                <w:rFonts w:hint="eastAsia" w:ascii="宋体" w:hAnsi="宋体" w:cs="宋体"/>
                <w:color w:val="000000"/>
                <w:sz w:val="24"/>
                <w:szCs w:val="24"/>
              </w:rPr>
              <w:t xml:space="preserve">5</w:t>
            </w:r>
            <w:r/>
          </w:p>
        </w:tc>
      </w:tr>
    </w:tbl>
    <w:p>
      <w:pPr>
        <w:ind w:firstLine="480"/>
        <w:spacing w:line="500" w:lineRule="atLeast"/>
        <w:rPr>
          <w:rFonts w:ascii="宋体" w:hAnsi="宋体" w:eastAsia="宋体" w:cs="宋体"/>
          <w:bCs/>
          <w:sz w:val="24"/>
          <w:szCs w:val="24"/>
        </w:rPr>
      </w:pPr>
      <w:r/>
      <w:bookmarkStart w:id="203" w:name="OLE_LINK9"/>
      <w:r/>
      <w:bookmarkEnd w:id="199"/>
      <w:r/>
      <w:bookmarkEnd w:id="200"/>
      <w:r>
        <w:rPr>
          <w:rFonts w:hint="eastAsia" w:ascii="宋体" w:hAnsi="宋体" w:eastAsia="宋体" w:cs="宋体"/>
          <w:sz w:val="24"/>
          <w:szCs w:val="24"/>
        </w:rPr>
        <w:t xml:space="preserve">2.1.10入围供应商的投标报价为最高限价，入围供应商必须在最高限价内与用车方结算。</w:t>
      </w:r>
      <w:r/>
    </w:p>
    <w:p>
      <w:pPr>
        <w:ind w:firstLine="440"/>
        <w:jc w:val="left"/>
        <w:spacing w:line="500" w:lineRule="atLeast"/>
        <w:widowControl/>
        <w:rPr>
          <w:rFonts w:ascii="宋体" w:hAnsi="宋体" w:eastAsia="宋体" w:cs="宋体"/>
          <w:sz w:val="24"/>
          <w:szCs w:val="20"/>
        </w:rPr>
      </w:pPr>
      <w:r>
        <w:rPr>
          <w:rFonts w:ascii="Calibri" w:hAnsi="Calibri" w:eastAsia="宋体" w:cs="Calibri"/>
          <w:sz w:val="22"/>
          <w:szCs w:val="18"/>
        </w:rPr>
        <w:t xml:space="preserve">①</w:t>
      </w:r>
      <w:r>
        <w:rPr>
          <w:rFonts w:hint="eastAsia" w:ascii="宋体" w:hAnsi="宋体" w:eastAsia="宋体" w:cs="宋体"/>
          <w:sz w:val="24"/>
          <w:szCs w:val="20"/>
        </w:rPr>
        <w:t xml:space="preserve">供应商综合考虑国家收费标准并结合市场实际进行报价，在各类车型基准价上，统一填报下浮比例（</w:t>
      </w:r>
      <w:r>
        <w:rPr>
          <w:rFonts w:ascii="宋体" w:hAnsi="宋体" w:eastAsia="宋体" w:cs="宋体"/>
          <w:sz w:val="24"/>
          <w:szCs w:val="20"/>
        </w:rPr>
        <w:t xml:space="preserve">0</w:t>
      </w:r>
      <w:r>
        <w:rPr>
          <w:rFonts w:hint="eastAsia" w:ascii="宋体" w:hAnsi="宋体" w:eastAsia="宋体" w:cs="宋体"/>
          <w:sz w:val="24"/>
          <w:szCs w:val="20"/>
        </w:rPr>
        <w:t xml:space="preserve">%≤下浮比例＜100%，超出该范围的响应无效）。</w:t>
      </w:r>
      <w:r/>
    </w:p>
    <w:p>
      <w:pPr>
        <w:ind w:firstLine="440"/>
        <w:jc w:val="left"/>
        <w:spacing w:line="500" w:lineRule="atLeast"/>
        <w:widowControl/>
        <w:rPr>
          <w:rFonts w:ascii="宋体" w:hAnsi="宋体" w:eastAsia="宋体" w:cs="宋体"/>
          <w:sz w:val="24"/>
          <w:szCs w:val="20"/>
        </w:rPr>
      </w:pPr>
      <w:r>
        <w:rPr>
          <w:rFonts w:ascii="Calibri" w:hAnsi="Calibri" w:eastAsia="宋体" w:cs="Calibri"/>
          <w:sz w:val="22"/>
          <w:szCs w:val="18"/>
        </w:rPr>
        <w:t xml:space="preserve">②</w:t>
      </w:r>
      <w:r>
        <w:rPr>
          <w:rFonts w:hint="eastAsia" w:ascii="宋体" w:hAnsi="宋体" w:eastAsia="宋体" w:cs="宋体"/>
          <w:sz w:val="24"/>
          <w:szCs w:val="20"/>
        </w:rPr>
        <w:t xml:space="preserve">本项目采取下浮比例报价，以（1-下浮比例）作为供应商的报价参与价格评审。</w:t>
      </w:r>
      <w:r/>
    </w:p>
    <w:p>
      <w:pPr>
        <w:ind w:firstLine="480"/>
        <w:jc w:val="left"/>
        <w:spacing w:line="500" w:lineRule="atLeast"/>
        <w:widowControl/>
        <w:rPr>
          <w:rFonts w:ascii="宋体" w:hAnsi="宋体" w:eastAsia="宋体" w:cs="宋体"/>
          <w:b/>
          <w:bCs/>
          <w:sz w:val="24"/>
          <w:szCs w:val="20"/>
        </w:rPr>
      </w:pPr>
      <w:r>
        <w:rPr>
          <w:rFonts w:hint="eastAsia" w:ascii="宋体" w:hAnsi="宋体" w:eastAsia="宋体" w:cs="宋体"/>
          <w:b/>
          <w:bCs/>
          <w:sz w:val="24"/>
          <w:szCs w:val="20"/>
        </w:rPr>
        <w:t xml:space="preserve">2.2 第二阶段费用结算方式</w:t>
      </w:r>
      <w:r/>
    </w:p>
    <w:p>
      <w:pPr>
        <w:ind w:firstLine="482"/>
        <w:spacing w:line="500" w:lineRule="atLeast"/>
        <w:rPr>
          <w:rFonts w:ascii="宋体" w:hAnsi="宋体" w:eastAsia="宋体" w:cs="宋体"/>
          <w:sz w:val="24"/>
          <w:szCs w:val="24"/>
        </w:rPr>
      </w:pPr>
      <w:r>
        <w:rPr>
          <w:rFonts w:hint="eastAsia" w:ascii="宋体" w:hAnsi="宋体" w:eastAsia="宋体" w:cs="宋体"/>
          <w:sz w:val="24"/>
          <w:szCs w:val="20"/>
        </w:rPr>
        <w:t xml:space="preserve">2</w:t>
      </w:r>
      <w:r>
        <w:rPr>
          <w:rFonts w:ascii="宋体" w:hAnsi="宋体" w:eastAsia="宋体" w:cs="宋体"/>
          <w:sz w:val="24"/>
          <w:szCs w:val="20"/>
        </w:rPr>
        <w:t xml:space="preserve">.2.1</w:t>
      </w:r>
      <w:r>
        <w:rPr>
          <w:rFonts w:hint="eastAsia" w:ascii="宋体" w:hAnsi="宋体" w:eastAsia="宋体" w:cs="宋体"/>
          <w:sz w:val="24"/>
          <w:szCs w:val="24"/>
        </w:rPr>
        <w:t xml:space="preserve">除驾驶员住宿费（</w:t>
      </w:r>
      <w:r>
        <w:rPr>
          <w:rFonts w:ascii="宋体" w:hAnsi="宋体" w:eastAsia="宋体" w:cs="宋体"/>
          <w:sz w:val="24"/>
          <w:szCs w:val="24"/>
        </w:rPr>
        <w:t xml:space="preserve">包二网约车</w:t>
      </w:r>
      <w:r>
        <w:rPr>
          <w:rFonts w:hint="eastAsia" w:ascii="宋体" w:hAnsi="宋体" w:eastAsia="宋体" w:cs="宋体"/>
          <w:sz w:val="24"/>
          <w:szCs w:val="24"/>
        </w:rPr>
        <w:t xml:space="preserve">司机住宿费由中标公司自理）、过路过桥费、停车费由采购人(用车方)据实</w:t>
      </w:r>
      <w:r>
        <w:rPr>
          <w:rFonts w:ascii="宋体" w:hAnsi="宋体" w:eastAsia="宋体" w:cs="宋体"/>
          <w:sz w:val="24"/>
          <w:szCs w:val="24"/>
        </w:rPr>
        <w:t xml:space="preserve">支付</w:t>
      </w:r>
      <w:r>
        <w:rPr>
          <w:rFonts w:hint="eastAsia" w:ascii="宋体" w:hAnsi="宋体" w:eastAsia="宋体" w:cs="宋体"/>
          <w:sz w:val="24"/>
          <w:szCs w:val="24"/>
        </w:rPr>
        <w:t xml:space="preserve">外，其他一切费用（包括但不限于保险费、日常保养费、燃油费、维修费、年审费、折旧费、交通事故产生的费用、随车驾驶员工资福利费、保险、相关税金等所有费用）由入围供应商承担。由采购人(用车方)据实支付的驾驶员住宿费，不得超</w:t>
      </w:r>
      <w:r/>
    </w:p>
    <w:p>
      <w:pPr>
        <w:spacing w:line="500" w:lineRule="atLeast"/>
        <w:rPr>
          <w:rFonts w:ascii="宋体" w:hAnsi="宋体" w:eastAsia="宋体" w:cs="宋体"/>
          <w:sz w:val="24"/>
          <w:szCs w:val="24"/>
        </w:rPr>
      </w:pPr>
      <w:r>
        <w:rPr>
          <w:rFonts w:hint="eastAsia" w:ascii="宋体" w:hAnsi="宋体" w:eastAsia="宋体" w:cs="宋体"/>
          <w:sz w:val="24"/>
          <w:szCs w:val="24"/>
        </w:rPr>
        <w:t xml:space="preserve">过盐城市现行机关差旅费管理相关办法规定标准。</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2</w:t>
      </w:r>
      <w:r>
        <w:rPr>
          <w:rFonts w:ascii="宋体" w:hAnsi="宋体" w:eastAsia="宋体" w:cs="宋体"/>
          <w:sz w:val="24"/>
          <w:szCs w:val="20"/>
        </w:rPr>
        <w:t xml:space="preserve">.2.2</w:t>
      </w:r>
      <w:r>
        <w:rPr>
          <w:rFonts w:hint="eastAsia" w:ascii="宋体" w:hAnsi="宋体" w:eastAsia="宋体" w:cs="宋体"/>
          <w:sz w:val="24"/>
          <w:szCs w:val="20"/>
        </w:rPr>
        <w:t xml:space="preserve">上述所有费用均为含税价。</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2</w:t>
      </w:r>
      <w:r>
        <w:rPr>
          <w:rFonts w:ascii="宋体" w:hAnsi="宋体" w:eastAsia="宋体" w:cs="宋体"/>
          <w:sz w:val="24"/>
          <w:szCs w:val="20"/>
        </w:rPr>
        <w:t xml:space="preserve">.2.3</w:t>
      </w:r>
      <w:r>
        <w:rPr>
          <w:rFonts w:hint="eastAsia" w:ascii="宋体" w:hAnsi="宋体" w:eastAsia="宋体" w:cs="宋体"/>
          <w:sz w:val="24"/>
          <w:szCs w:val="20"/>
        </w:rPr>
        <w:t xml:space="preserve">供应商履行合同后，依据采购合同的约定，与采购人进行费用结算。</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2.3 其它未尽事项参照《盐城市党政机关公务用车管理办法》。</w:t>
      </w:r>
      <w:r/>
    </w:p>
    <w:p>
      <w:pPr>
        <w:ind w:firstLine="480"/>
        <w:jc w:val="left"/>
        <w:spacing w:line="500" w:lineRule="atLeast"/>
        <w:widowControl/>
        <w:rPr>
          <w:rFonts w:ascii="宋体" w:hAnsi="宋体" w:eastAsia="宋体" w:cs="宋体"/>
          <w:b/>
          <w:bCs/>
          <w:sz w:val="24"/>
          <w:szCs w:val="20"/>
        </w:rPr>
      </w:pPr>
      <w:r>
        <w:rPr>
          <w:rFonts w:hint="eastAsia" w:ascii="宋体" w:hAnsi="宋体" w:eastAsia="宋体" w:cs="宋体"/>
          <w:b/>
          <w:bCs/>
          <w:sz w:val="24"/>
          <w:szCs w:val="20"/>
        </w:rPr>
        <w:t xml:space="preserve">3.</w:t>
      </w:r>
      <w:bookmarkStart w:id="204" w:name="OLE_LINK18"/>
      <w:r/>
      <w:bookmarkStart w:id="205" w:name="OLE_LINK11"/>
      <w:r>
        <w:rPr>
          <w:rFonts w:hint="eastAsia" w:ascii="宋体" w:hAnsi="宋体" w:eastAsia="宋体" w:cs="宋体"/>
          <w:b/>
          <w:bCs/>
          <w:sz w:val="24"/>
          <w:szCs w:val="20"/>
        </w:rPr>
        <w:t xml:space="preserve">技术要求</w:t>
      </w:r>
      <w:r/>
    </w:p>
    <w:p>
      <w:pPr>
        <w:ind w:firstLine="480"/>
        <w:jc w:val="left"/>
        <w:spacing w:line="500" w:lineRule="atLeast"/>
        <w:widowControl/>
        <w:rPr>
          <w:rFonts w:ascii="宋体" w:hAnsi="宋体" w:eastAsia="宋体" w:cs="宋体"/>
          <w:b/>
          <w:bCs/>
          <w:sz w:val="24"/>
          <w:szCs w:val="20"/>
        </w:rPr>
      </w:pPr>
      <w:r>
        <w:rPr>
          <w:rFonts w:hint="eastAsia" w:ascii="宋体" w:hAnsi="宋体" w:eastAsia="宋体" w:cs="宋体"/>
          <w:b/>
          <w:bCs/>
          <w:sz w:val="24"/>
          <w:szCs w:val="20"/>
        </w:rPr>
        <w:t xml:space="preserve">3.1 服务要求</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3</w:t>
      </w:r>
      <w:r>
        <w:rPr>
          <w:rFonts w:ascii="宋体" w:hAnsi="宋体" w:eastAsia="宋体" w:cs="宋体"/>
          <w:sz w:val="24"/>
          <w:szCs w:val="20"/>
        </w:rPr>
        <w:t xml:space="preserve">.1.1</w:t>
      </w:r>
      <w:r>
        <w:rPr>
          <w:rFonts w:hint="eastAsia" w:ascii="宋体" w:hAnsi="宋体" w:eastAsia="宋体" w:cs="宋体"/>
          <w:sz w:val="24"/>
          <w:szCs w:val="20"/>
        </w:rPr>
        <w:t xml:space="preserve">服务对象及范围：盐城市市本级党政机关、事业单位及团体组织，使用财政性资金进行的乘用车出租客运服务。</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3</w:t>
      </w:r>
      <w:r>
        <w:rPr>
          <w:rFonts w:ascii="宋体" w:hAnsi="宋体" w:eastAsia="宋体" w:cs="宋体"/>
          <w:sz w:val="24"/>
          <w:szCs w:val="20"/>
        </w:rPr>
        <w:t xml:space="preserve">.1.2</w:t>
      </w:r>
      <w:r>
        <w:rPr>
          <w:rFonts w:hint="eastAsia" w:ascii="宋体" w:hAnsi="宋体" w:eastAsia="宋体" w:cs="宋体"/>
          <w:sz w:val="24"/>
          <w:szCs w:val="20"/>
        </w:rPr>
        <w:t xml:space="preserve">入围供应商提供全天候24小时服务，临时租车市内30分钟以内到达租车单位。</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3</w:t>
      </w:r>
      <w:r>
        <w:rPr>
          <w:rFonts w:ascii="宋体" w:hAnsi="宋体" w:eastAsia="宋体" w:cs="宋体"/>
          <w:sz w:val="24"/>
          <w:szCs w:val="20"/>
        </w:rPr>
        <w:t xml:space="preserve">.1.3</w:t>
      </w:r>
      <w:r>
        <w:rPr>
          <w:rFonts w:hint="eastAsia" w:ascii="宋体" w:hAnsi="宋体" w:eastAsia="宋体" w:cs="宋体"/>
          <w:sz w:val="24"/>
          <w:szCs w:val="20"/>
        </w:rPr>
        <w:t xml:space="preserve">车辆维护保养管理规范，有专业固定的维修保养定点场所。</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3</w:t>
      </w:r>
      <w:r>
        <w:rPr>
          <w:rFonts w:ascii="宋体" w:hAnsi="宋体" w:eastAsia="宋体" w:cs="宋体"/>
          <w:sz w:val="24"/>
          <w:szCs w:val="20"/>
        </w:rPr>
        <w:t xml:space="preserve">.1.4</w:t>
      </w:r>
      <w:r>
        <w:rPr>
          <w:rFonts w:hint="eastAsia" w:ascii="宋体" w:hAnsi="宋体" w:eastAsia="宋体" w:cs="宋体"/>
          <w:sz w:val="24"/>
          <w:szCs w:val="20"/>
        </w:rPr>
        <w:t xml:space="preserve">车辆在提供服务期间发生故障，无法正常行驶，能及时调换备用服务车辆确保公务出行正常运行。</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3</w:t>
      </w:r>
      <w:r>
        <w:rPr>
          <w:rFonts w:ascii="宋体" w:hAnsi="宋体" w:eastAsia="宋体" w:cs="宋体"/>
          <w:sz w:val="24"/>
          <w:szCs w:val="20"/>
        </w:rPr>
        <w:t xml:space="preserve">.1.5</w:t>
      </w:r>
      <w:r>
        <w:rPr>
          <w:rFonts w:hint="eastAsia" w:ascii="宋体" w:hAnsi="宋体" w:eastAsia="宋体" w:cs="宋体"/>
          <w:sz w:val="24"/>
          <w:szCs w:val="20"/>
        </w:rPr>
        <w:t xml:space="preserve">报价人的车辆保险及年检均合法有效,供应商须提供加盖公章的承诺函</w:t>
      </w:r>
      <w:r>
        <w:rPr>
          <w:rFonts w:hint="eastAsia" w:ascii="宋体" w:hAnsi="宋体" w:eastAsia="宋体" w:cs="宋体"/>
          <w:b/>
          <w:bCs/>
          <w:sz w:val="24"/>
          <w:szCs w:val="20"/>
        </w:rPr>
        <w:t xml:space="preserve">（包含中标后提供行驶证、机动车登记证书、保险单据等相关材料）</w:t>
      </w:r>
      <w:r>
        <w:rPr>
          <w:rFonts w:hint="eastAsia" w:ascii="宋体" w:hAnsi="宋体" w:eastAsia="宋体" w:cs="宋体"/>
          <w:sz w:val="24"/>
          <w:szCs w:val="20"/>
        </w:rPr>
        <w:t xml:space="preserve">。</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3</w:t>
      </w:r>
      <w:r>
        <w:rPr>
          <w:rFonts w:ascii="宋体" w:hAnsi="宋体" w:eastAsia="宋体" w:cs="宋体"/>
          <w:sz w:val="24"/>
          <w:szCs w:val="20"/>
        </w:rPr>
        <w:t xml:space="preserve">.1.6</w:t>
      </w:r>
      <w:r>
        <w:rPr>
          <w:rFonts w:hint="eastAsia" w:ascii="宋体" w:hAnsi="宋体" w:eastAsia="宋体" w:cs="宋体"/>
          <w:sz w:val="24"/>
          <w:szCs w:val="20"/>
        </w:rPr>
        <w:t xml:space="preserve">入围供应商提供服务的所有车辆技术状况良好、安全性能可靠。除国家规定的必保险种，供应商应额外为政府采购提供出租客运服务的车辆投保，投保应包括第三者责任险（投保保额不低于100万元）、座位险（每座投保保额不低于50万元）等，保证合同签订前提供的车辆保险险种、限额达到上述要求</w:t>
      </w:r>
      <w:r>
        <w:rPr>
          <w:rFonts w:hint="eastAsia" w:ascii="宋体" w:hAnsi="宋体" w:eastAsia="宋体" w:cs="宋体"/>
          <w:sz w:val="24"/>
          <w:szCs w:val="24"/>
        </w:rPr>
        <w:t xml:space="preserve">，如发生安全事故，</w:t>
      </w:r>
      <w:r>
        <w:rPr>
          <w:rFonts w:hint="eastAsia" w:ascii="宋体" w:hAnsi="宋体" w:eastAsia="宋体" w:cs="宋体"/>
          <w:sz w:val="24"/>
          <w:szCs w:val="20"/>
        </w:rPr>
        <w:t xml:space="preserve">供应商</w:t>
      </w:r>
      <w:r>
        <w:rPr>
          <w:rFonts w:hint="eastAsia" w:ascii="宋体" w:hAnsi="宋体" w:eastAsia="宋体" w:cs="Times New Roman"/>
          <w:sz w:val="24"/>
          <w:szCs w:val="24"/>
        </w:rPr>
        <w:t xml:space="preserve">（含网约车平台）应承担第一责任的风险，并承担先赔先付的义务</w:t>
      </w:r>
      <w:r>
        <w:rPr>
          <w:rFonts w:hint="eastAsia" w:ascii="宋体" w:hAnsi="宋体" w:eastAsia="宋体" w:cs="宋体"/>
          <w:sz w:val="24"/>
          <w:szCs w:val="24"/>
        </w:rPr>
        <w:t xml:space="preserve">。</w:t>
      </w:r>
      <w:r>
        <w:rPr>
          <w:rFonts w:hint="eastAsia" w:ascii="宋体" w:hAnsi="宋体" w:eastAsia="宋体" w:cs="宋体"/>
          <w:sz w:val="24"/>
          <w:szCs w:val="20"/>
        </w:rPr>
        <w:t xml:space="preserve">否则入围供应商应承担由此产生的所有责任。</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3</w:t>
      </w:r>
      <w:r>
        <w:rPr>
          <w:rFonts w:ascii="宋体" w:hAnsi="宋体" w:eastAsia="宋体" w:cs="宋体"/>
          <w:sz w:val="24"/>
          <w:szCs w:val="20"/>
        </w:rPr>
        <w:t xml:space="preserve">.1.7</w:t>
      </w:r>
      <w:r>
        <w:rPr>
          <w:rFonts w:hint="eastAsia" w:ascii="宋体" w:hAnsi="宋体" w:eastAsia="宋体" w:cs="宋体"/>
          <w:sz w:val="24"/>
          <w:szCs w:val="20"/>
        </w:rPr>
        <w:t xml:space="preserve">服务车辆车身必须去除供应商LOGO（大客车除外）等明显标识，服务期间车窗前摆放“公务出行”标牌。</w:t>
      </w:r>
      <w:r/>
    </w:p>
    <w:p>
      <w:pPr>
        <w:ind w:firstLine="480"/>
        <w:spacing w:line="500" w:lineRule="atLeast"/>
        <w:rPr>
          <w:rFonts w:ascii="宋体" w:hAnsi="宋体" w:eastAsia="宋体" w:cs="宋体"/>
          <w:sz w:val="24"/>
          <w:szCs w:val="24"/>
        </w:rPr>
      </w:pPr>
      <w:r>
        <w:rPr>
          <w:rFonts w:hint="eastAsia" w:ascii="宋体" w:hAnsi="宋体" w:eastAsia="宋体" w:cs="宋体"/>
          <w:sz w:val="24"/>
          <w:szCs w:val="20"/>
        </w:rPr>
        <w:t xml:space="preserve">3</w:t>
      </w:r>
      <w:r>
        <w:rPr>
          <w:rFonts w:ascii="宋体" w:hAnsi="宋体" w:eastAsia="宋体" w:cs="宋体"/>
          <w:sz w:val="24"/>
          <w:szCs w:val="20"/>
        </w:rPr>
        <w:t xml:space="preserve">.1.8</w:t>
      </w:r>
      <w:r>
        <w:rPr>
          <w:rFonts w:hint="eastAsia" w:ascii="宋体" w:hAnsi="宋体" w:eastAsia="宋体" w:cs="宋体"/>
          <w:sz w:val="24"/>
          <w:szCs w:val="24"/>
        </w:rPr>
        <w:t xml:space="preserve">包一：服务车辆购置时间保证在10年以内，相关部门有权要求乙方更换车辆并酌情处理，且乙方需承担在更换期间给采购方造成的损失。</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包二：服务车辆购置时间保证在5年以内，相关部门有权要求乙方更换车辆并酌情处理，且乙方需承担在更换期间给采购方造成的损失。</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包三：服务车辆购置时间超过8年的，相关部门有权要求乙方更换车辆并酌情处理，且乙方需承担在更换期间给采购方造成的损失。</w:t>
      </w:r>
      <w:r/>
    </w:p>
    <w:p>
      <w:pPr>
        <w:ind w:firstLine="480"/>
        <w:spacing w:line="500" w:lineRule="atLeast"/>
        <w:rPr>
          <w:rFonts w:ascii="宋体" w:hAnsi="宋体" w:eastAsia="宋体" w:cs="宋体"/>
          <w:sz w:val="24"/>
          <w:szCs w:val="24"/>
        </w:rPr>
      </w:pPr>
      <w:r>
        <w:rPr>
          <w:rFonts w:hint="eastAsia" w:ascii="宋体" w:hAnsi="宋体" w:eastAsia="宋体" w:cs="宋体"/>
          <w:sz w:val="24"/>
          <w:szCs w:val="24"/>
        </w:rPr>
        <w:t xml:space="preserve">包四：服务车辆购置时间超过8年的，相关部门有权要求乙方更换车辆并酌情处理，且乙方需承担在更换期间给采购方造成的损失。</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3</w:t>
      </w:r>
      <w:r>
        <w:rPr>
          <w:rFonts w:ascii="宋体" w:hAnsi="宋体" w:eastAsia="宋体" w:cs="宋体"/>
          <w:sz w:val="24"/>
          <w:szCs w:val="20"/>
        </w:rPr>
        <w:t xml:space="preserve">.1.9</w:t>
      </w:r>
      <w:r>
        <w:rPr>
          <w:rFonts w:hint="eastAsia" w:ascii="宋体" w:hAnsi="宋体" w:eastAsia="宋体" w:cs="宋体"/>
          <w:sz w:val="24"/>
          <w:szCs w:val="20"/>
        </w:rPr>
        <w:t xml:space="preserve">用于服务的车辆产权必须属于入围供应商, 车辆产权无任何外包或变相外包情形（包二除外）。</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3</w:t>
      </w:r>
      <w:r>
        <w:rPr>
          <w:rFonts w:ascii="宋体" w:hAnsi="宋体" w:eastAsia="宋体" w:cs="宋体"/>
          <w:sz w:val="24"/>
          <w:szCs w:val="20"/>
        </w:rPr>
        <w:t xml:space="preserve">.1.10</w:t>
      </w:r>
      <w:r>
        <w:rPr>
          <w:rFonts w:hint="eastAsia" w:ascii="宋体" w:hAnsi="宋体" w:eastAsia="宋体" w:cs="宋体"/>
          <w:sz w:val="24"/>
          <w:szCs w:val="20"/>
        </w:rPr>
        <w:t xml:space="preserve">入围供应商在基本服务质量要求外，应就车辆的卫生保洁、驾驶人员的统一着装、服务创新、服务质量标准化、应急方案、疫情防控、服务监督、重大活动保障等方面提出服务承诺。</w:t>
      </w:r>
      <w:r>
        <w:rPr>
          <w:rFonts w:hint="eastAsia" w:ascii="宋体" w:hAnsi="宋体" w:eastAsia="宋体" w:cs="宋体"/>
          <w:b/>
          <w:bCs/>
          <w:sz w:val="24"/>
          <w:szCs w:val="20"/>
        </w:rPr>
        <w:t xml:space="preserve">供应商须在响应文件中提供服务承诺书（格式见附件），否则文件无效。</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3</w:t>
      </w:r>
      <w:r>
        <w:rPr>
          <w:rFonts w:ascii="宋体" w:hAnsi="宋体" w:eastAsia="宋体" w:cs="宋体"/>
          <w:sz w:val="24"/>
          <w:szCs w:val="20"/>
        </w:rPr>
        <w:t xml:space="preserve">.1.11</w:t>
      </w:r>
      <w:r>
        <w:rPr>
          <w:rFonts w:hint="eastAsia" w:ascii="宋体" w:hAnsi="宋体" w:eastAsia="宋体" w:cs="宋体"/>
          <w:sz w:val="24"/>
          <w:szCs w:val="20"/>
        </w:rPr>
        <w:t xml:space="preserve">入围供应商应积极接受采购履约监督及现场检查，配合相关部门组织的日常考核、监督检查和管理。若相关部门投诉入围供应商服务态度恶劣或入围供应商在服务期内出现重大交通安全事故等不良情况，相关部门代表有权约谈并督促其改正或终止其协议服务。</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4</w:t>
      </w:r>
      <w:r>
        <w:rPr>
          <w:rFonts w:ascii="宋体" w:hAnsi="宋体" w:eastAsia="宋体" w:cs="宋体"/>
          <w:sz w:val="24"/>
          <w:szCs w:val="20"/>
        </w:rPr>
        <w:t xml:space="preserve">.</w:t>
      </w:r>
      <w:r>
        <w:rPr>
          <w:rFonts w:hint="eastAsia" w:ascii="宋体" w:hAnsi="宋体" w:eastAsia="宋体" w:cs="宋体"/>
          <w:sz w:val="24"/>
          <w:szCs w:val="20"/>
        </w:rPr>
        <w:t xml:space="preserve">对接要求</w:t>
      </w:r>
      <w:r/>
    </w:p>
    <w:p>
      <w:pPr>
        <w:ind w:firstLine="480"/>
        <w:jc w:val="left"/>
        <w:spacing w:line="500" w:lineRule="atLeast"/>
        <w:widowControl/>
        <w:rPr>
          <w:rFonts w:ascii="宋体" w:hAnsi="宋体" w:eastAsia="宋体" w:cs="宋体"/>
          <w:sz w:val="24"/>
          <w:szCs w:val="20"/>
        </w:rPr>
      </w:pPr>
      <w:r>
        <w:rPr>
          <w:rFonts w:ascii="宋体" w:hAnsi="宋体" w:eastAsia="宋体" w:cs="宋体"/>
          <w:sz w:val="24"/>
          <w:szCs w:val="20"/>
        </w:rPr>
        <w:t xml:space="preserve">4.1</w:t>
      </w:r>
      <w:r>
        <w:rPr>
          <w:rFonts w:hint="eastAsia" w:ascii="宋体" w:hAnsi="宋体" w:eastAsia="宋体" w:cs="宋体"/>
          <w:sz w:val="24"/>
          <w:szCs w:val="20"/>
        </w:rPr>
        <w:t xml:space="preserve">供应商自建车辆信息化管理系统。主要对接要求：</w:t>
      </w:r>
      <w:r/>
    </w:p>
    <w:p>
      <w:pPr>
        <w:ind w:firstLine="480"/>
        <w:jc w:val="left"/>
        <w:spacing w:line="500" w:lineRule="atLeast"/>
        <w:widowControl/>
        <w:rPr>
          <w:rFonts w:ascii="宋体" w:hAnsi="宋体" w:eastAsia="宋体" w:cs="宋体"/>
          <w:sz w:val="24"/>
          <w:szCs w:val="20"/>
        </w:rPr>
      </w:pPr>
      <w:r/>
      <w:bookmarkStart w:id="206" w:name="OLE_LINK76"/>
      <w:r>
        <w:rPr>
          <w:rFonts w:ascii="宋体" w:hAnsi="宋体" w:eastAsia="宋体" w:cs="宋体"/>
          <w:sz w:val="24"/>
          <w:szCs w:val="20"/>
        </w:rPr>
        <w:t xml:space="preserve">4.1.1</w:t>
      </w:r>
      <w:bookmarkEnd w:id="206"/>
      <w:r>
        <w:rPr>
          <w:rFonts w:hint="eastAsia" w:ascii="宋体" w:hAnsi="宋体" w:eastAsia="宋体" w:cs="宋体"/>
          <w:sz w:val="24"/>
          <w:szCs w:val="20"/>
        </w:rPr>
        <w:t xml:space="preserve">实现车辆调度与管理。供应商应根据管理部门的要求，将相关车辆信息上传至“盐城市公务用车管理平台”并自主打印“公务出行”标识牌，并提供准确的可用车辆数量和车型信息，并及时回应“盐城市公务用车管理平台”端口发出的申请车辆订单，并将调度信息反馈给平台。</w:t>
      </w:r>
      <w:r/>
    </w:p>
    <w:p>
      <w:pPr>
        <w:ind w:firstLine="480"/>
        <w:jc w:val="left"/>
        <w:spacing w:line="500" w:lineRule="atLeast"/>
        <w:widowControl/>
        <w:rPr>
          <w:rFonts w:ascii="宋体" w:hAnsi="宋体" w:eastAsia="宋体" w:cs="宋体"/>
          <w:sz w:val="24"/>
          <w:szCs w:val="20"/>
        </w:rPr>
      </w:pPr>
      <w:r>
        <w:rPr>
          <w:rFonts w:ascii="宋体" w:hAnsi="宋体" w:eastAsia="宋体" w:cs="宋体"/>
          <w:sz w:val="24"/>
          <w:szCs w:val="20"/>
        </w:rPr>
        <w:t xml:space="preserve">4.1.2</w:t>
      </w:r>
      <w:r>
        <w:rPr>
          <w:rFonts w:hint="eastAsia" w:ascii="宋体" w:hAnsi="宋体" w:eastAsia="宋体" w:cs="宋体"/>
          <w:sz w:val="24"/>
          <w:szCs w:val="20"/>
        </w:rPr>
        <w:t xml:space="preserve">实现线上费用信息核对、线下结算。对于每单服务保障费用进行单独结算，供应商在盐城市公务用车管理平台上传每单费用信息，经用车单位确认费用后的订单，方可开票线下结算。</w:t>
      </w:r>
      <w:r/>
    </w:p>
    <w:p>
      <w:pPr>
        <w:ind w:firstLine="480"/>
        <w:jc w:val="left"/>
        <w:spacing w:line="500" w:lineRule="atLeast"/>
        <w:widowControl/>
        <w:rPr>
          <w:rFonts w:ascii="宋体" w:hAnsi="宋体" w:eastAsia="宋体" w:cs="宋体"/>
          <w:sz w:val="24"/>
          <w:szCs w:val="20"/>
        </w:rPr>
      </w:pPr>
      <w:r>
        <w:rPr>
          <w:rFonts w:ascii="宋体" w:hAnsi="宋体" w:eastAsia="宋体" w:cs="宋体"/>
          <w:sz w:val="24"/>
          <w:szCs w:val="20"/>
        </w:rPr>
        <w:t xml:space="preserve">4.1.3</w:t>
      </w:r>
      <w:r>
        <w:rPr>
          <w:rFonts w:hint="eastAsia" w:ascii="宋体" w:hAnsi="宋体" w:eastAsia="宋体" w:cs="宋体"/>
          <w:sz w:val="24"/>
          <w:szCs w:val="20"/>
        </w:rPr>
        <w:t xml:space="preserve">实现全过程可控可查。对于每单服务保障的运行轨迹应全程可控可查，数据存储时间至少一年备查。</w:t>
      </w:r>
      <w:r/>
    </w:p>
    <w:p>
      <w:pPr>
        <w:ind w:firstLine="480"/>
        <w:jc w:val="left"/>
        <w:spacing w:line="500" w:lineRule="atLeast"/>
        <w:widowControl/>
        <w:rPr>
          <w:rFonts w:ascii="宋体" w:hAnsi="宋体" w:eastAsia="宋体" w:cs="宋体"/>
          <w:sz w:val="24"/>
          <w:szCs w:val="20"/>
        </w:rPr>
      </w:pPr>
      <w:r>
        <w:rPr>
          <w:rFonts w:ascii="宋体" w:hAnsi="宋体" w:eastAsia="宋体" w:cs="宋体"/>
          <w:sz w:val="24"/>
          <w:szCs w:val="20"/>
        </w:rPr>
        <w:t xml:space="preserve">4.1.4</w:t>
      </w:r>
      <w:r>
        <w:rPr>
          <w:rFonts w:hint="eastAsia" w:ascii="宋体" w:hAnsi="宋体" w:eastAsia="宋体" w:cs="宋体"/>
          <w:sz w:val="24"/>
          <w:szCs w:val="20"/>
        </w:rPr>
        <w:t xml:space="preserve">积极配合联调联试周期。供应商自建平台的接口协议、开发内容符合标准的情况下，调试周期最长为2周，“盐城市公务用车管理平台”软件开发商免费提供一次联调联试，供应商需据实支付因自建系统开发问题产生的额外调试费用并承担因延期造成的其他后果。</w:t>
      </w:r>
      <w:r/>
    </w:p>
    <w:p>
      <w:pPr>
        <w:ind w:firstLine="480"/>
        <w:jc w:val="left"/>
        <w:spacing w:line="500" w:lineRule="atLeast"/>
        <w:widowControl/>
        <w:rPr>
          <w:rFonts w:ascii="宋体" w:hAnsi="宋体" w:eastAsia="宋体" w:cs="宋体"/>
          <w:sz w:val="24"/>
          <w:szCs w:val="20"/>
        </w:rPr>
      </w:pPr>
      <w:r>
        <w:rPr>
          <w:rFonts w:ascii="宋体" w:hAnsi="宋体" w:eastAsia="宋体" w:cs="宋体"/>
          <w:sz w:val="24"/>
          <w:szCs w:val="20"/>
        </w:rPr>
        <w:t xml:space="preserve">4.2</w:t>
      </w:r>
      <w:r>
        <w:rPr>
          <w:rFonts w:hint="eastAsia" w:ascii="宋体" w:hAnsi="宋体" w:eastAsia="宋体" w:cs="宋体"/>
          <w:sz w:val="24"/>
          <w:szCs w:val="20"/>
        </w:rPr>
        <w:t xml:space="preserve">供应商没有自建系统。没有自建系统的供应商须通过“盐城市公务用车管理平台”人工完成车辆调度、费用结算等电子化交易所需的全部信息。</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4</w:t>
      </w:r>
      <w:r>
        <w:rPr>
          <w:rFonts w:ascii="宋体" w:hAnsi="宋体" w:eastAsia="宋体" w:cs="宋体"/>
          <w:sz w:val="24"/>
          <w:szCs w:val="20"/>
        </w:rPr>
        <w:t xml:space="preserve">.2.1</w:t>
      </w:r>
      <w:r>
        <w:rPr>
          <w:rFonts w:hint="eastAsia" w:ascii="宋体" w:hAnsi="宋体" w:eastAsia="宋体" w:cs="宋体"/>
          <w:sz w:val="24"/>
          <w:szCs w:val="20"/>
        </w:rPr>
        <w:t xml:space="preserve">上传车辆基本信息。将参与公务出行保障的车辆信息上传至“盐城市公务用车管理平台”并自主打印“公务出行”标识牌。</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4</w:t>
      </w:r>
      <w:r>
        <w:rPr>
          <w:rFonts w:ascii="宋体" w:hAnsi="宋体" w:eastAsia="宋体" w:cs="宋体"/>
          <w:sz w:val="24"/>
          <w:szCs w:val="20"/>
        </w:rPr>
        <w:t xml:space="preserve">.2.2</w:t>
      </w:r>
      <w:r>
        <w:rPr>
          <w:rFonts w:hint="eastAsia" w:ascii="宋体" w:hAnsi="宋体" w:eastAsia="宋体" w:cs="宋体"/>
          <w:sz w:val="24"/>
          <w:szCs w:val="20"/>
        </w:rPr>
        <w:t xml:space="preserve">通过“盐城市公务用车管理平台”或短信接收用车人发起的用车订单信息，并在规定时间内输入车辆信息和驾驶员联系方式。</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4</w:t>
      </w:r>
      <w:r>
        <w:rPr>
          <w:rFonts w:ascii="宋体" w:hAnsi="宋体" w:eastAsia="宋体" w:cs="宋体"/>
          <w:sz w:val="24"/>
          <w:szCs w:val="20"/>
        </w:rPr>
        <w:t xml:space="preserve">.2.3</w:t>
      </w:r>
      <w:r>
        <w:rPr>
          <w:rFonts w:hint="eastAsia" w:ascii="宋体" w:hAnsi="宋体" w:eastAsia="宋体" w:cs="宋体"/>
          <w:sz w:val="24"/>
          <w:szCs w:val="20"/>
        </w:rPr>
        <w:t xml:space="preserve">服务结束后，根据用车人签字确认的《公务出行车辆租赁服务单》，在“盐城市公务用车管理平台”上输入服务时长、服务里程和其他结算需要的信息。</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4</w:t>
      </w:r>
      <w:r>
        <w:rPr>
          <w:rFonts w:ascii="宋体" w:hAnsi="宋体" w:eastAsia="宋体" w:cs="宋体"/>
          <w:sz w:val="24"/>
          <w:szCs w:val="20"/>
        </w:rPr>
        <w:t xml:space="preserve">.2.4</w:t>
      </w:r>
      <w:r>
        <w:rPr>
          <w:rFonts w:hint="eastAsia" w:ascii="宋体" w:hAnsi="宋体" w:eastAsia="宋体" w:cs="宋体"/>
          <w:sz w:val="24"/>
          <w:szCs w:val="20"/>
        </w:rPr>
        <w:t xml:space="preserve">车载定位终端的信息需妥善留存，存储时间至少一年，随时备查。</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4</w:t>
      </w:r>
      <w:r>
        <w:rPr>
          <w:rFonts w:ascii="宋体" w:hAnsi="宋体" w:eastAsia="宋体" w:cs="宋体"/>
          <w:sz w:val="24"/>
          <w:szCs w:val="20"/>
        </w:rPr>
        <w:t xml:space="preserve">.2.5</w:t>
      </w:r>
      <w:r>
        <w:rPr>
          <w:rFonts w:hint="eastAsia" w:ascii="宋体" w:hAnsi="宋体" w:eastAsia="宋体" w:cs="宋体"/>
          <w:sz w:val="24"/>
          <w:szCs w:val="20"/>
        </w:rPr>
        <w:t xml:space="preserve">没有自建平台的供应商须登录“盐城市公务用车管理平台”完成车辆调度信息、费用信息的输入，留存一年内的租赁车辆行车轨迹，并据实向“盐城市公务用车管理平台”维保方支付产生的短信和流量通信费。</w:t>
      </w:r>
      <w:r/>
    </w:p>
    <w:p>
      <w:pPr>
        <w:ind w:firstLine="480"/>
        <w:jc w:val="left"/>
        <w:spacing w:line="500" w:lineRule="atLeast"/>
        <w:widowControl/>
        <w:rPr>
          <w:rFonts w:ascii="宋体" w:hAnsi="宋体" w:eastAsia="宋体" w:cs="宋体"/>
          <w:b/>
          <w:bCs/>
          <w:sz w:val="24"/>
          <w:szCs w:val="20"/>
        </w:rPr>
      </w:pPr>
      <w:r>
        <w:rPr>
          <w:rFonts w:ascii="宋体" w:hAnsi="宋体" w:eastAsia="宋体" w:cs="宋体"/>
          <w:b/>
          <w:bCs/>
          <w:sz w:val="24"/>
          <w:szCs w:val="20"/>
        </w:rPr>
      </w:r>
      <w:r/>
    </w:p>
    <w:p>
      <w:pPr>
        <w:ind w:firstLine="480"/>
        <w:jc w:val="left"/>
        <w:spacing w:line="560" w:lineRule="exact"/>
        <w:widowControl/>
        <w:rPr>
          <w:rFonts w:ascii="宋体" w:hAnsi="宋体" w:eastAsia="宋体" w:cs="宋体"/>
          <w:b/>
          <w:bCs/>
          <w:sz w:val="24"/>
          <w:szCs w:val="20"/>
        </w:rPr>
      </w:pPr>
      <w:r>
        <w:rPr>
          <w:rFonts w:ascii="宋体" w:hAnsi="宋体" w:eastAsia="宋体" w:cs="宋体"/>
          <w:b/>
          <w:bCs/>
          <w:sz w:val="24"/>
          <w:szCs w:val="20"/>
        </w:rPr>
      </w:r>
      <w:r/>
    </w:p>
    <w:p>
      <w:pPr>
        <w:pStyle w:val="756"/>
        <w:rPr>
          <w:rFonts w:ascii="宋体" w:hAnsi="宋体" w:eastAsia="宋体" w:cs="宋体"/>
          <w:b/>
          <w:bCs/>
          <w:sz w:val="24"/>
          <w:szCs w:val="20"/>
        </w:rPr>
      </w:pPr>
      <w:r>
        <w:rPr>
          <w:rFonts w:ascii="宋体" w:hAnsi="宋体" w:eastAsia="宋体" w:cs="宋体"/>
          <w:b/>
          <w:bCs/>
          <w:sz w:val="24"/>
          <w:szCs w:val="20"/>
        </w:rPr>
      </w:r>
      <w:r/>
    </w:p>
    <w:p>
      <w:pPr>
        <w:pStyle w:val="756"/>
        <w:rPr>
          <w:rFonts w:ascii="宋体" w:hAnsi="宋体" w:eastAsia="宋体" w:cs="宋体"/>
          <w:b/>
          <w:bCs/>
          <w:sz w:val="24"/>
          <w:szCs w:val="20"/>
        </w:rPr>
      </w:pPr>
      <w:r>
        <w:rPr>
          <w:rFonts w:ascii="宋体" w:hAnsi="宋体" w:eastAsia="宋体" w:cs="宋体"/>
          <w:b/>
          <w:bCs/>
          <w:sz w:val="24"/>
          <w:szCs w:val="20"/>
        </w:rPr>
      </w:r>
      <w:r/>
    </w:p>
    <w:p>
      <w:pPr>
        <w:pStyle w:val="756"/>
        <w:rPr>
          <w:rFonts w:ascii="宋体" w:hAnsi="宋体" w:eastAsia="宋体" w:cs="宋体"/>
          <w:b/>
          <w:bCs/>
          <w:sz w:val="24"/>
          <w:szCs w:val="20"/>
        </w:rPr>
      </w:pPr>
      <w:r>
        <w:rPr>
          <w:rFonts w:ascii="宋体" w:hAnsi="宋体" w:eastAsia="宋体" w:cs="宋体"/>
          <w:b/>
          <w:bCs/>
          <w:sz w:val="24"/>
          <w:szCs w:val="20"/>
        </w:rPr>
      </w:r>
      <w:r/>
    </w:p>
    <w:p>
      <w:pPr>
        <w:pStyle w:val="756"/>
        <w:rPr>
          <w:rFonts w:ascii="宋体" w:hAnsi="宋体" w:eastAsia="宋体" w:cs="宋体"/>
          <w:b/>
          <w:bCs/>
          <w:sz w:val="24"/>
          <w:szCs w:val="20"/>
        </w:rPr>
      </w:pPr>
      <w:r>
        <w:rPr>
          <w:rFonts w:ascii="宋体" w:hAnsi="宋体" w:eastAsia="宋体" w:cs="宋体"/>
          <w:b/>
          <w:bCs/>
          <w:sz w:val="24"/>
          <w:szCs w:val="20"/>
        </w:rPr>
      </w:r>
      <w:r/>
    </w:p>
    <w:p>
      <w:pPr>
        <w:pStyle w:val="756"/>
        <w:rPr>
          <w:rFonts w:ascii="宋体" w:hAnsi="宋体" w:eastAsia="宋体" w:cs="宋体"/>
          <w:b/>
          <w:bCs/>
          <w:sz w:val="24"/>
          <w:szCs w:val="20"/>
        </w:rPr>
      </w:pPr>
      <w:r>
        <w:rPr>
          <w:rFonts w:ascii="宋体" w:hAnsi="宋体" w:eastAsia="宋体" w:cs="宋体"/>
          <w:b/>
          <w:bCs/>
          <w:sz w:val="24"/>
          <w:szCs w:val="20"/>
        </w:rPr>
      </w:r>
      <w:r/>
    </w:p>
    <w:p>
      <w:pPr>
        <w:pStyle w:val="756"/>
        <w:rPr>
          <w:rFonts w:ascii="宋体" w:hAnsi="宋体" w:eastAsia="宋体" w:cs="宋体"/>
          <w:b/>
          <w:bCs/>
          <w:sz w:val="24"/>
          <w:szCs w:val="20"/>
        </w:rPr>
      </w:pPr>
      <w:r>
        <w:rPr>
          <w:rFonts w:ascii="宋体" w:hAnsi="宋体" w:eastAsia="宋体" w:cs="宋体"/>
          <w:b/>
          <w:bCs/>
          <w:sz w:val="24"/>
          <w:szCs w:val="20"/>
        </w:rPr>
      </w:r>
      <w:r/>
    </w:p>
    <w:p>
      <w:pPr>
        <w:pStyle w:val="756"/>
        <w:rPr>
          <w:rFonts w:ascii="宋体" w:hAnsi="宋体" w:eastAsia="宋体" w:cs="宋体"/>
          <w:b/>
          <w:bCs/>
          <w:sz w:val="24"/>
          <w:szCs w:val="20"/>
        </w:rPr>
      </w:pPr>
      <w:r>
        <w:rPr>
          <w:rFonts w:ascii="宋体" w:hAnsi="宋体" w:eastAsia="宋体" w:cs="宋体"/>
          <w:b/>
          <w:bCs/>
          <w:sz w:val="24"/>
          <w:szCs w:val="20"/>
        </w:rPr>
      </w:r>
      <w:r/>
    </w:p>
    <w:p>
      <w:pPr>
        <w:pStyle w:val="756"/>
        <w:rPr>
          <w:rFonts w:ascii="宋体" w:hAnsi="宋体" w:eastAsia="宋体" w:cs="宋体"/>
          <w:b/>
          <w:bCs/>
          <w:sz w:val="24"/>
          <w:szCs w:val="20"/>
        </w:rPr>
      </w:pPr>
      <w:r>
        <w:rPr>
          <w:rFonts w:ascii="宋体" w:hAnsi="宋体" w:eastAsia="宋体" w:cs="宋体"/>
          <w:b/>
          <w:bCs/>
          <w:sz w:val="24"/>
          <w:szCs w:val="20"/>
        </w:rPr>
      </w:r>
      <w:r/>
    </w:p>
    <w:p>
      <w:pPr>
        <w:pStyle w:val="756"/>
        <w:rPr>
          <w:rFonts w:ascii="宋体" w:hAnsi="宋体" w:eastAsia="宋体" w:cs="宋体"/>
          <w:b/>
          <w:bCs/>
          <w:sz w:val="24"/>
          <w:szCs w:val="20"/>
        </w:rPr>
      </w:pPr>
      <w:r>
        <w:rPr>
          <w:rFonts w:ascii="宋体" w:hAnsi="宋体" w:eastAsia="宋体" w:cs="宋体"/>
          <w:b/>
          <w:bCs/>
          <w:sz w:val="24"/>
          <w:szCs w:val="20"/>
        </w:rPr>
      </w:r>
      <w:r/>
    </w:p>
    <w:p>
      <w:pPr>
        <w:pStyle w:val="756"/>
        <w:rPr>
          <w:rFonts w:ascii="宋体" w:hAnsi="宋体" w:eastAsia="宋体" w:cs="宋体"/>
          <w:b/>
          <w:bCs/>
          <w:sz w:val="24"/>
          <w:szCs w:val="20"/>
        </w:rPr>
      </w:pPr>
      <w:r>
        <w:rPr>
          <w:rFonts w:ascii="宋体" w:hAnsi="宋体" w:eastAsia="宋体" w:cs="宋体"/>
          <w:b/>
          <w:bCs/>
          <w:sz w:val="24"/>
          <w:szCs w:val="20"/>
        </w:rPr>
      </w:r>
      <w:r/>
    </w:p>
    <w:p>
      <w:pPr>
        <w:pStyle w:val="756"/>
        <w:rPr>
          <w:rFonts w:ascii="宋体" w:hAnsi="宋体" w:eastAsia="宋体" w:cs="宋体"/>
          <w:b/>
          <w:bCs/>
          <w:sz w:val="24"/>
          <w:szCs w:val="20"/>
        </w:rPr>
      </w:pPr>
      <w:r>
        <w:rPr>
          <w:rFonts w:ascii="宋体" w:hAnsi="宋体" w:eastAsia="宋体" w:cs="宋体"/>
          <w:b/>
          <w:bCs/>
          <w:sz w:val="24"/>
          <w:szCs w:val="20"/>
        </w:rPr>
      </w:r>
      <w:r/>
    </w:p>
    <w:p>
      <w:pPr>
        <w:ind w:firstLine="482"/>
        <w:jc w:val="left"/>
        <w:spacing w:line="500" w:lineRule="exact"/>
        <w:widowControl/>
        <w:rPr>
          <w:rFonts w:ascii="宋体" w:hAnsi="宋体" w:eastAsia="宋体" w:cs="宋体"/>
          <w:b/>
          <w:bCs/>
          <w:sz w:val="24"/>
          <w:szCs w:val="20"/>
        </w:rPr>
      </w:pPr>
      <w:r>
        <w:rPr>
          <w:rFonts w:ascii="宋体" w:hAnsi="宋体" w:eastAsia="宋体" w:cs="宋体"/>
          <w:b/>
          <w:bCs/>
          <w:sz w:val="24"/>
          <w:szCs w:val="20"/>
        </w:rPr>
        <w:t xml:space="preserve">5.</w:t>
      </w:r>
      <w:r>
        <w:rPr>
          <w:rFonts w:hint="eastAsia" w:ascii="宋体" w:hAnsi="宋体" w:eastAsia="宋体" w:cs="宋体"/>
          <w:b/>
          <w:bCs/>
          <w:sz w:val="24"/>
          <w:szCs w:val="20"/>
        </w:rPr>
        <w:t xml:space="preserve"> 1车辆及汽车驾驶员要求</w:t>
      </w:r>
      <w:r/>
    </w:p>
    <w:p>
      <w:pPr>
        <w:ind w:firstLine="482"/>
        <w:jc w:val="left"/>
        <w:spacing w:line="500" w:lineRule="exact"/>
        <w:widowControl/>
        <w:rPr>
          <w:rFonts w:ascii="宋体" w:hAnsi="宋体" w:eastAsia="宋体" w:cs="宋体"/>
          <w:sz w:val="24"/>
          <w:szCs w:val="20"/>
          <w:highlight w:val="yellow"/>
        </w:rPr>
      </w:pPr>
      <w:r>
        <w:rPr>
          <w:rFonts w:hint="eastAsia" w:ascii="宋体" w:hAnsi="宋体" w:eastAsia="宋体" w:cs="宋体"/>
          <w:sz w:val="24"/>
          <w:szCs w:val="20"/>
        </w:rPr>
        <w:t xml:space="preserve">包一车辆类型、数量及代驾人员数：</w:t>
      </w:r>
      <w:r/>
    </w:p>
    <w:tbl>
      <w:tblPr>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9"/>
        <w:gridCol w:w="2203"/>
        <w:gridCol w:w="2302"/>
        <w:gridCol w:w="3055"/>
      </w:tblGrid>
      <w:tr>
        <w:trPr>
          <w:jc w:val="center"/>
          <w:trHeight w:val="423"/>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203"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车辆类型</w:t>
            </w:r>
            <w:r/>
          </w:p>
        </w:tc>
        <w:tc>
          <w:tcPr>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代驾人员数</w:t>
            </w:r>
            <w:r/>
          </w:p>
        </w:tc>
      </w:tr>
      <w:tr>
        <w:trPr>
          <w:jc w:val="center"/>
          <w:trHeight w:val="1627"/>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520" w:lineRule="exact"/>
              <w:widowControl/>
              <w:rPr>
                <w:rFonts w:ascii="宋体" w:hAnsi="宋体" w:eastAsia="宋体" w:cs="Times New Roman"/>
                <w:sz w:val="24"/>
                <w:szCs w:val="24"/>
              </w:rPr>
            </w:pPr>
            <w:r>
              <w:rPr>
                <w:rFonts w:hint="eastAsia" w:ascii="宋体" w:hAnsi="宋体" w:eastAsia="宋体" w:cs="Times New Roman"/>
                <w:sz w:val="24"/>
                <w:szCs w:val="24"/>
              </w:rPr>
              <w:t xml:space="preserve">包一</w:t>
            </w:r>
            <w:r/>
          </w:p>
        </w:tc>
        <w:tc>
          <w:tcPr>
            <w:tcBorders>
              <w:top w:val="single" w:color="auto" w:sz="4" w:space="0"/>
              <w:left w:val="single" w:color="auto" w:sz="4" w:space="0"/>
              <w:bottom w:val="single" w:color="auto" w:sz="4" w:space="0"/>
              <w:right w:val="single" w:color="auto" w:sz="4" w:space="0"/>
            </w:tcBorders>
            <w:tcW w:w="2203" w:type="dxa"/>
            <w:vAlign w:val="center"/>
            <w:textDirection w:val="lrTb"/>
            <w:noWrap w:val="false"/>
          </w:tcPr>
          <w:p>
            <w:pPr>
              <w:jc w:val="center"/>
              <w:spacing w:line="520" w:lineRule="exact"/>
              <w:widowControl/>
              <w:rPr>
                <w:rFonts w:ascii="宋体" w:hAnsi="宋体" w:eastAsia="宋体" w:cs="Times New Roman"/>
                <w:szCs w:val="21"/>
              </w:rPr>
            </w:pPr>
            <w:r>
              <w:rPr>
                <w:rFonts w:hint="eastAsia" w:ascii="宋体" w:hAnsi="宋体" w:eastAsia="宋体" w:cs="宋体"/>
                <w:color w:val="000000"/>
                <w:sz w:val="22"/>
              </w:rPr>
              <w:t xml:space="preserve">5座-9座新能源类车（纯电汽车）、5座燃油类轿车（</w:t>
            </w:r>
            <w:bookmarkStart w:id="207" w:name="OLE_LINK37"/>
            <w:r/>
            <w:bookmarkStart w:id="208" w:name="OLE_LINK38"/>
            <w:r>
              <w:rPr>
                <w:rFonts w:hint="eastAsia" w:ascii="宋体" w:hAnsi="宋体" w:eastAsia="宋体" w:cs="宋体"/>
                <w:color w:val="000000"/>
                <w:sz w:val="22"/>
              </w:rPr>
              <w:t xml:space="preserve">含</w:t>
            </w:r>
            <w:bookmarkEnd w:id="207"/>
            <w:r/>
            <w:bookmarkEnd w:id="208"/>
            <w:r>
              <w:rPr>
                <w:rFonts w:hint="eastAsia" w:ascii="宋体" w:hAnsi="宋体" w:eastAsia="宋体" w:cs="宋体"/>
                <w:color w:val="000000"/>
                <w:sz w:val="22"/>
              </w:rPr>
              <w:t xml:space="preserve">混动车）、6座-9座燃油类车（含混动车）</w:t>
            </w:r>
            <w:r/>
          </w:p>
        </w:tc>
        <w:tc>
          <w:tcPr>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jc w:val="center"/>
              <w:spacing w:line="52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不少于15辆，其中</w:t>
            </w:r>
            <w:r>
              <w:rPr>
                <w:rFonts w:ascii="宋体" w:hAnsi="宋体" w:eastAsia="宋体" w:cs="Times New Roman"/>
                <w:sz w:val="24"/>
                <w:szCs w:val="24"/>
              </w:rPr>
              <w:t xml:space="preserve">7</w:t>
            </w:r>
            <w:r>
              <w:rPr>
                <w:rFonts w:hint="eastAsia" w:ascii="宋体" w:hAnsi="宋体" w:eastAsia="宋体" w:cs="Times New Roman"/>
                <w:sz w:val="24"/>
                <w:szCs w:val="24"/>
              </w:rPr>
              <w:t xml:space="preserve">座商务车不少于5辆</w:t>
            </w:r>
            <w:r/>
          </w:p>
        </w:tc>
        <w:tc>
          <w:tcPr>
            <w:tcBorders>
              <w:top w:val="single" w:color="auto" w:sz="4" w:space="0"/>
              <w:left w:val="single" w:color="auto" w:sz="4" w:space="0"/>
              <w:right w:val="single" w:color="auto" w:sz="4" w:space="0"/>
            </w:tcBorders>
            <w:tcW w:w="3055" w:type="dxa"/>
            <w:vAlign w:val="center"/>
            <w:textDirection w:val="lrTb"/>
            <w:noWrap w:val="false"/>
          </w:tcPr>
          <w:p>
            <w:pPr>
              <w:jc w:val="center"/>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每辆车须配备一名符合车辆驾驶要求的代驾人员。</w:t>
            </w:r>
            <w:r/>
          </w:p>
        </w:tc>
      </w:tr>
    </w:tbl>
    <w:p>
      <w:pPr>
        <w:ind w:firstLine="480"/>
        <w:jc w:val="left"/>
        <w:spacing w:line="560" w:lineRule="exact"/>
        <w:widowControl/>
        <w:rPr>
          <w:rFonts w:ascii="宋体" w:hAnsi="宋体" w:eastAsia="宋体" w:cs="宋体"/>
          <w:sz w:val="24"/>
          <w:szCs w:val="20"/>
          <w:highlight w:val="yellow"/>
        </w:rPr>
      </w:pPr>
      <w:r>
        <w:rPr>
          <w:rFonts w:hint="eastAsia" w:ascii="宋体" w:hAnsi="宋体" w:eastAsia="宋体" w:cs="宋体"/>
          <w:sz w:val="24"/>
          <w:szCs w:val="20"/>
        </w:rPr>
        <w:t xml:space="preserve">包二车辆类型、数量及驾驶员人数：</w:t>
      </w:r>
      <w:r/>
    </w:p>
    <w:tbl>
      <w:tblPr>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6"/>
        <w:gridCol w:w="2196"/>
        <w:gridCol w:w="2315"/>
        <w:gridCol w:w="3031"/>
      </w:tblGrid>
      <w:tr>
        <w:trPr>
          <w:jc w:val="center"/>
          <w:trHeight w:val="476"/>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196"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车辆类型</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3031"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驾驶员人数</w:t>
            </w:r>
            <w:r/>
          </w:p>
        </w:tc>
      </w:tr>
      <w:tr>
        <w:trPr>
          <w:jc w:val="center"/>
          <w:trHeight w:val="1345"/>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spacing w:line="520" w:lineRule="exact"/>
              <w:widowControl/>
              <w:rPr>
                <w:rFonts w:ascii="宋体" w:hAnsi="宋体" w:eastAsia="宋体" w:cs="Times New Roman"/>
                <w:sz w:val="24"/>
                <w:szCs w:val="24"/>
              </w:rPr>
            </w:pPr>
            <w:r>
              <w:rPr>
                <w:rFonts w:hint="eastAsia" w:ascii="宋体" w:hAnsi="宋体" w:eastAsia="宋体" w:cs="Times New Roman"/>
                <w:sz w:val="24"/>
                <w:szCs w:val="24"/>
              </w:rPr>
              <w:t xml:space="preserve">包二</w:t>
            </w:r>
            <w:r/>
          </w:p>
        </w:tc>
        <w:tc>
          <w:tcPr>
            <w:tcBorders>
              <w:top w:val="single" w:color="auto" w:sz="4" w:space="0"/>
              <w:left w:val="single" w:color="auto" w:sz="4" w:space="0"/>
              <w:bottom w:val="single" w:color="auto" w:sz="4" w:space="0"/>
              <w:right w:val="single" w:color="auto" w:sz="4" w:space="0"/>
            </w:tcBorders>
            <w:tcW w:w="2196" w:type="dxa"/>
            <w:vAlign w:val="center"/>
            <w:textDirection w:val="lrTb"/>
            <w:noWrap w:val="false"/>
          </w:tcPr>
          <w:p>
            <w:pPr>
              <w:jc w:val="center"/>
              <w:spacing w:line="520" w:lineRule="exact"/>
              <w:widowControl/>
            </w:pPr>
            <w:r>
              <w:rPr>
                <w:rFonts w:hint="eastAsia" w:ascii="宋体" w:hAnsi="宋体" w:eastAsia="宋体" w:cs="宋体"/>
                <w:color w:val="000000"/>
                <w:sz w:val="24"/>
                <w:szCs w:val="24"/>
              </w:rPr>
              <w:t xml:space="preserve">5座轿车、</w:t>
            </w:r>
            <w:r>
              <w:rPr>
                <w:rFonts w:ascii="宋体" w:hAnsi="宋体" w:eastAsia="宋体" w:cs="宋体"/>
                <w:color w:val="000000"/>
                <w:sz w:val="24"/>
                <w:szCs w:val="24"/>
              </w:rPr>
              <w:t xml:space="preserve">7</w:t>
            </w:r>
            <w:r>
              <w:rPr>
                <w:rFonts w:hint="eastAsia" w:ascii="宋体" w:hAnsi="宋体" w:eastAsia="宋体" w:cs="宋体"/>
                <w:color w:val="000000"/>
                <w:sz w:val="24"/>
                <w:szCs w:val="24"/>
              </w:rPr>
              <w:t xml:space="preserve">座及以下商务车</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line="52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不少于15辆</w:t>
            </w:r>
            <w:r>
              <w:rPr>
                <w:rFonts w:ascii="宋体" w:hAnsi="宋体" w:eastAsia="宋体" w:cs="Times New Roman"/>
                <w:sz w:val="24"/>
                <w:szCs w:val="24"/>
              </w:rPr>
              <w:t xml:space="preserve"> </w:t>
            </w:r>
            <w:r/>
          </w:p>
        </w:tc>
        <w:tc>
          <w:tcPr>
            <w:tcBorders>
              <w:left w:val="single" w:color="auto" w:sz="4" w:space="0"/>
              <w:right w:val="single" w:color="auto" w:sz="4" w:space="0"/>
            </w:tcBorders>
            <w:tcW w:w="3031"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每辆车须配备一名符合车辆驾驶要求的驾驶员。</w:t>
            </w:r>
            <w:r/>
          </w:p>
        </w:tc>
      </w:tr>
    </w:tbl>
    <w:p>
      <w:pPr>
        <w:ind w:firstLine="480"/>
        <w:jc w:val="left"/>
        <w:spacing w:line="560" w:lineRule="exact"/>
        <w:widowControl/>
        <w:rPr>
          <w:rFonts w:ascii="宋体" w:hAnsi="宋体" w:eastAsia="宋体" w:cs="宋体"/>
          <w:sz w:val="24"/>
          <w:szCs w:val="20"/>
          <w:highlight w:val="yellow"/>
        </w:rPr>
      </w:pPr>
      <w:r>
        <w:rPr>
          <w:rFonts w:hint="eastAsia" w:ascii="宋体" w:hAnsi="宋体" w:eastAsia="宋体" w:cs="宋体"/>
          <w:sz w:val="24"/>
          <w:szCs w:val="20"/>
        </w:rPr>
        <w:t xml:space="preserve">包三车辆类型、数量及驾驶员人数：</w:t>
      </w:r>
      <w:r/>
    </w:p>
    <w:tbl>
      <w:tblPr>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6"/>
        <w:gridCol w:w="2196"/>
        <w:gridCol w:w="2315"/>
        <w:gridCol w:w="3031"/>
      </w:tblGrid>
      <w:tr>
        <w:trPr>
          <w:jc w:val="center"/>
          <w:trHeight w:val="756"/>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196"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车辆类型</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3031"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驾驶员人数</w:t>
            </w:r>
            <w:r/>
          </w:p>
        </w:tc>
      </w:tr>
      <w:tr>
        <w:trPr>
          <w:jc w:val="center"/>
          <w:trHeight w:val="1790"/>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spacing w:line="520" w:lineRule="exact"/>
              <w:widowControl/>
              <w:rPr>
                <w:rFonts w:ascii="宋体" w:hAnsi="宋体" w:eastAsia="宋体" w:cs="Times New Roman"/>
                <w:sz w:val="22"/>
              </w:rPr>
            </w:pPr>
            <w:r>
              <w:rPr>
                <w:rFonts w:hint="eastAsia" w:ascii="宋体" w:hAnsi="宋体" w:eastAsia="宋体" w:cs="Times New Roman"/>
                <w:sz w:val="22"/>
              </w:rPr>
              <w:t xml:space="preserve">包三</w:t>
            </w:r>
            <w:r/>
          </w:p>
        </w:tc>
        <w:tc>
          <w:tcPr>
            <w:tcBorders>
              <w:top w:val="single" w:color="auto" w:sz="4" w:space="0"/>
              <w:left w:val="single" w:color="auto" w:sz="4" w:space="0"/>
              <w:bottom w:val="single" w:color="auto" w:sz="4" w:space="0"/>
              <w:right w:val="single" w:color="auto" w:sz="4" w:space="0"/>
            </w:tcBorders>
            <w:tcW w:w="2196" w:type="dxa"/>
            <w:vAlign w:val="center"/>
            <w:textDirection w:val="lrTb"/>
            <w:noWrap w:val="false"/>
          </w:tcPr>
          <w:p>
            <w:pPr>
              <w:jc w:val="center"/>
              <w:spacing w:line="520" w:lineRule="exact"/>
              <w:widowControl/>
              <w:rPr>
                <w:rFonts w:ascii="宋体" w:hAnsi="宋体" w:eastAsia="宋体" w:cs="Times New Roman"/>
                <w:sz w:val="22"/>
              </w:rPr>
            </w:pPr>
            <w:r>
              <w:rPr>
                <w:rFonts w:hint="eastAsia" w:ascii="宋体" w:hAnsi="宋体" w:eastAsia="宋体" w:cs="宋体"/>
                <w:color w:val="000000"/>
                <w:sz w:val="22"/>
              </w:rPr>
              <w:t xml:space="preserve">23座（不含）至45座（不含）大型客车（含新能源汽车）、45座（含）以上大型客车（含新能源汽车）</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line="520" w:lineRule="exact"/>
              <w:widowControl/>
              <w:rPr>
                <w:rFonts w:ascii="宋体" w:hAnsi="宋体" w:eastAsia="宋体" w:cs="Times New Roman"/>
                <w:sz w:val="22"/>
              </w:rPr>
            </w:pPr>
            <w:r>
              <w:rPr>
                <w:rFonts w:hint="eastAsia" w:ascii="宋体" w:hAnsi="宋体" w:eastAsia="宋体" w:cs="Times New Roman"/>
                <w:sz w:val="22"/>
              </w:rPr>
              <w:t xml:space="preserve">不少于1</w:t>
            </w:r>
            <w:r>
              <w:rPr>
                <w:rFonts w:ascii="宋体" w:hAnsi="宋体" w:eastAsia="宋体" w:cs="Times New Roman"/>
                <w:sz w:val="22"/>
              </w:rPr>
              <w:t xml:space="preserve">0</w:t>
            </w:r>
            <w:r>
              <w:rPr>
                <w:rFonts w:hint="eastAsia" w:ascii="宋体" w:hAnsi="宋体" w:eastAsia="宋体" w:cs="Times New Roman"/>
                <w:sz w:val="22"/>
              </w:rPr>
              <w:t xml:space="preserve">辆</w:t>
            </w:r>
            <w:r/>
          </w:p>
        </w:tc>
        <w:tc>
          <w:tcPr>
            <w:tcBorders>
              <w:left w:val="single" w:color="auto" w:sz="4" w:space="0"/>
              <w:right w:val="single" w:color="auto" w:sz="4" w:space="0"/>
            </w:tcBorders>
            <w:tcW w:w="3031" w:type="dxa"/>
            <w:vAlign w:val="center"/>
            <w:textDirection w:val="lrTb"/>
            <w:noWrap w:val="false"/>
          </w:tcPr>
          <w:p>
            <w:pPr>
              <w:jc w:val="center"/>
              <w:spacing w:line="400" w:lineRule="exact"/>
              <w:widowControl/>
              <w:rPr>
                <w:rFonts w:ascii="宋体" w:hAnsi="宋体" w:eastAsia="宋体" w:cs="Times New Roman"/>
                <w:sz w:val="22"/>
              </w:rPr>
            </w:pPr>
            <w:r/>
            <w:bookmarkStart w:id="209" w:name="OLE_LINK12"/>
            <w:r/>
            <w:bookmarkStart w:id="210" w:name="OLE_LINK13"/>
            <w:r>
              <w:rPr>
                <w:rFonts w:hint="eastAsia" w:ascii="宋体" w:hAnsi="宋体" w:eastAsia="宋体" w:cs="Times New Roman"/>
                <w:sz w:val="22"/>
              </w:rPr>
              <w:t xml:space="preserve">每辆车须配备一名符合车辆驾驶要求的驾驶员。</w:t>
            </w:r>
            <w:bookmarkEnd w:id="209"/>
            <w:r/>
            <w:bookmarkEnd w:id="210"/>
            <w:r/>
            <w:r/>
          </w:p>
          <w:p>
            <w:pPr>
              <w:jc w:val="center"/>
              <w:spacing w:line="520" w:lineRule="exact"/>
              <w:widowControl/>
              <w:rPr>
                <w:rFonts w:ascii="宋体" w:hAnsi="宋体" w:eastAsia="宋体" w:cs="Times New Roman"/>
                <w:sz w:val="22"/>
              </w:rPr>
            </w:pPr>
            <w:r>
              <w:rPr>
                <w:rFonts w:ascii="宋体" w:hAnsi="宋体" w:eastAsia="宋体" w:cs="Times New Roman"/>
                <w:sz w:val="22"/>
              </w:rPr>
            </w:r>
            <w:r/>
          </w:p>
        </w:tc>
      </w:tr>
    </w:tbl>
    <w:p>
      <w:pPr>
        <w:ind w:firstLine="480"/>
        <w:jc w:val="left"/>
        <w:spacing w:line="560" w:lineRule="exact"/>
        <w:widowControl/>
        <w:rPr>
          <w:rFonts w:ascii="宋体" w:hAnsi="宋体" w:eastAsia="宋体" w:cs="宋体"/>
          <w:sz w:val="24"/>
          <w:szCs w:val="20"/>
          <w:highlight w:val="yellow"/>
        </w:rPr>
      </w:pPr>
      <w:r>
        <w:rPr>
          <w:rFonts w:hint="eastAsia" w:ascii="宋体" w:hAnsi="宋体" w:eastAsia="宋体" w:cs="宋体"/>
          <w:sz w:val="24"/>
          <w:szCs w:val="20"/>
        </w:rPr>
        <w:t xml:space="preserve">包四车辆类型、数量及驾驶员人数：</w:t>
      </w:r>
      <w:r/>
    </w:p>
    <w:tbl>
      <w:tblPr>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6"/>
        <w:gridCol w:w="2196"/>
        <w:gridCol w:w="2315"/>
        <w:gridCol w:w="3031"/>
      </w:tblGrid>
      <w:tr>
        <w:trPr>
          <w:jc w:val="center"/>
          <w:trHeight w:val="506"/>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196"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车辆类型</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3031" w:type="dxa"/>
            <w:vAlign w:val="center"/>
            <w:textDirection w:val="lrTb"/>
            <w:noWrap w:val="false"/>
          </w:tcPr>
          <w:p>
            <w:pPr>
              <w:jc w:val="center"/>
              <w:spacing w:line="520" w:lineRule="exact"/>
              <w:widowControl/>
              <w:rPr>
                <w:rFonts w:ascii="宋体" w:hAnsi="宋体" w:eastAsia="宋体" w:cs="Times New Roman"/>
                <w:b/>
                <w:bCs/>
                <w:sz w:val="24"/>
                <w:szCs w:val="24"/>
              </w:rPr>
            </w:pPr>
            <w:r>
              <w:rPr>
                <w:rFonts w:hint="eastAsia" w:ascii="宋体" w:hAnsi="宋体" w:eastAsia="宋体" w:cs="Times New Roman"/>
                <w:b/>
                <w:bCs/>
                <w:sz w:val="24"/>
                <w:szCs w:val="24"/>
              </w:rPr>
              <w:t xml:space="preserve">驾驶员人数</w:t>
            </w:r>
            <w:r/>
          </w:p>
        </w:tc>
      </w:tr>
      <w:tr>
        <w:trPr>
          <w:jc w:val="center"/>
          <w:trHeight w:val="1790"/>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spacing w:line="520" w:lineRule="exact"/>
              <w:widowControl/>
              <w:rPr>
                <w:rFonts w:ascii="宋体" w:hAnsi="宋体" w:eastAsia="宋体" w:cs="Times New Roman"/>
                <w:sz w:val="22"/>
              </w:rPr>
            </w:pPr>
            <w:r>
              <w:rPr>
                <w:rFonts w:hint="eastAsia" w:ascii="宋体" w:hAnsi="宋体" w:eastAsia="宋体" w:cs="Times New Roman"/>
                <w:sz w:val="22"/>
              </w:rPr>
              <w:t xml:space="preserve">包四</w:t>
            </w:r>
            <w:r/>
          </w:p>
        </w:tc>
        <w:tc>
          <w:tcPr>
            <w:tcBorders>
              <w:top w:val="single" w:color="auto" w:sz="4" w:space="0"/>
              <w:left w:val="single" w:color="auto" w:sz="4" w:space="0"/>
              <w:bottom w:val="single" w:color="auto" w:sz="4" w:space="0"/>
              <w:right w:val="single" w:color="auto" w:sz="4" w:space="0"/>
            </w:tcBorders>
            <w:tcW w:w="2196" w:type="dxa"/>
            <w:vAlign w:val="center"/>
            <w:textDirection w:val="lrTb"/>
            <w:noWrap w:val="false"/>
          </w:tcPr>
          <w:p>
            <w:pPr>
              <w:jc w:val="center"/>
              <w:spacing w:line="520" w:lineRule="exact"/>
              <w:widowControl/>
              <w:rPr>
                <w:rFonts w:ascii="宋体" w:hAnsi="宋体" w:eastAsia="宋体" w:cs="Times New Roman"/>
                <w:sz w:val="22"/>
              </w:rPr>
            </w:pPr>
            <w:r>
              <w:rPr>
                <w:rFonts w:hint="eastAsia" w:ascii="宋体" w:hAnsi="宋体" w:eastAsia="宋体" w:cs="Times New Roman"/>
                <w:sz w:val="22"/>
              </w:rPr>
              <w:t xml:space="preserve">23座（不含）至45座（不含）大型客车（含新能源汽车）、45座（含）以上大型客车（含新能源汽车）</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line="520" w:lineRule="exact"/>
              <w:widowControl/>
              <w:rPr>
                <w:rFonts w:ascii="宋体" w:hAnsi="宋体" w:eastAsia="宋体" w:cs="Times New Roman"/>
                <w:sz w:val="22"/>
              </w:rPr>
            </w:pPr>
            <w:r>
              <w:rPr>
                <w:rFonts w:hint="eastAsia" w:ascii="宋体" w:hAnsi="宋体" w:eastAsia="宋体" w:cs="Times New Roman"/>
                <w:sz w:val="22"/>
              </w:rPr>
              <w:t xml:space="preserve">不少于10辆</w:t>
            </w:r>
            <w:r/>
          </w:p>
        </w:tc>
        <w:tc>
          <w:tcPr>
            <w:tcBorders>
              <w:left w:val="single" w:color="auto" w:sz="4" w:space="0"/>
              <w:right w:val="single" w:color="auto" w:sz="4" w:space="0"/>
            </w:tcBorders>
            <w:tcW w:w="3031" w:type="dxa"/>
            <w:vAlign w:val="center"/>
            <w:textDirection w:val="lrTb"/>
            <w:noWrap w:val="false"/>
          </w:tcPr>
          <w:p>
            <w:pPr>
              <w:jc w:val="center"/>
              <w:spacing w:line="520" w:lineRule="exact"/>
              <w:widowControl/>
              <w:rPr>
                <w:rFonts w:ascii="宋体" w:hAnsi="宋体" w:eastAsia="宋体" w:cs="Times New Roman"/>
                <w:sz w:val="22"/>
              </w:rPr>
            </w:pPr>
            <w:r>
              <w:rPr>
                <w:rFonts w:hint="eastAsia" w:ascii="宋体" w:hAnsi="宋体" w:eastAsia="宋体" w:cs="Times New Roman"/>
                <w:sz w:val="22"/>
              </w:rPr>
              <w:t xml:space="preserve">每辆车须配备一名符合车辆驾驶要求的驾驶员。</w:t>
            </w:r>
            <w:r/>
          </w:p>
          <w:p>
            <w:pPr>
              <w:jc w:val="center"/>
              <w:spacing w:line="520" w:lineRule="exact"/>
              <w:widowControl/>
              <w:rPr>
                <w:rFonts w:ascii="宋体" w:hAnsi="宋体" w:eastAsia="宋体" w:cs="Times New Roman"/>
                <w:sz w:val="22"/>
              </w:rPr>
            </w:pPr>
            <w:r>
              <w:rPr>
                <w:rFonts w:ascii="宋体" w:hAnsi="宋体" w:eastAsia="宋体" w:cs="Times New Roman"/>
                <w:sz w:val="22"/>
              </w:rPr>
            </w:r>
            <w:r/>
          </w:p>
        </w:tc>
      </w:tr>
    </w:tbl>
    <w:p>
      <w:pPr>
        <w:ind w:firstLine="480"/>
        <w:jc w:val="left"/>
        <w:spacing w:line="500" w:lineRule="atLeast"/>
        <w:widowControl/>
        <w:rPr>
          <w:rFonts w:ascii="宋体" w:hAnsi="宋体" w:eastAsia="宋体" w:cs="宋体"/>
          <w:sz w:val="24"/>
          <w:szCs w:val="20"/>
        </w:rPr>
      </w:pPr>
      <w:r>
        <w:rPr>
          <w:rFonts w:ascii="宋体" w:hAnsi="宋体" w:eastAsia="宋体" w:cs="宋体"/>
          <w:sz w:val="24"/>
          <w:szCs w:val="20"/>
        </w:rPr>
        <w:t xml:space="preserve">5.2</w:t>
      </w:r>
      <w:r>
        <w:rPr>
          <w:rFonts w:hint="eastAsia" w:ascii="宋体" w:hAnsi="宋体" w:eastAsia="宋体" w:cs="宋体"/>
          <w:sz w:val="24"/>
          <w:szCs w:val="20"/>
        </w:rPr>
        <w:t xml:space="preserve">供应商所提供车辆应是自有车辆（不含包二），符合安全行驶标准，符合党政机关公务用车配备标准：新购轿车价格18万元以内、排气量1.8 L（含）以下、新购商务车价格25万元以内，排量3.0L（含）以内（参考配置为别克 GL8 或同档次车辆），正式提供服务前须报备公务用车主管部门并通过审核，保证服务安全规范，有固定的专业维修保养定点场所。</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5</w:t>
      </w:r>
      <w:r>
        <w:rPr>
          <w:rFonts w:ascii="宋体" w:hAnsi="宋体" w:eastAsia="宋体" w:cs="宋体"/>
          <w:sz w:val="24"/>
          <w:szCs w:val="20"/>
        </w:rPr>
        <w:t xml:space="preserve">.3驾驶员应有从事相应车型业务的相关资质，证照齐全，身体健康，技术良好</w:t>
      </w:r>
      <w:r/>
    </w:p>
    <w:p>
      <w:pPr>
        <w:ind w:firstLine="480"/>
        <w:jc w:val="left"/>
        <w:spacing w:line="500" w:lineRule="atLeast"/>
        <w:widowControl/>
        <w:rPr>
          <w:rFonts w:ascii="宋体" w:hAnsi="宋体" w:eastAsia="宋体" w:cs="宋体"/>
          <w:sz w:val="24"/>
          <w:szCs w:val="24"/>
        </w:rPr>
      </w:pPr>
      <w:r>
        <w:rPr>
          <w:rFonts w:hint="eastAsia" w:ascii="宋体" w:hAnsi="宋体" w:eastAsia="宋体" w:cs="宋体"/>
          <w:sz w:val="24"/>
          <w:szCs w:val="20"/>
        </w:rPr>
        <w:t xml:space="preserve">包一：驾驶员须符合交通部管理相关规定，供应商应与有</w:t>
      </w:r>
      <w:r>
        <w:rPr>
          <w:rFonts w:hint="eastAsia" w:ascii="宋体" w:hAnsi="宋体" w:eastAsia="宋体" w:cs="宋体"/>
          <w:sz w:val="24"/>
          <w:szCs w:val="24"/>
        </w:rPr>
        <w:t xml:space="preserve">代驾资格相关企业签订员工代驾协议，代驾资格企业须提供符合车型要求的驾驶证、</w:t>
      </w:r>
      <w:r>
        <w:rPr>
          <w:rFonts w:hint="eastAsia" w:hAnsi="宋体" w:cs="宋体"/>
          <w:sz w:val="24"/>
          <w:szCs w:val="24"/>
        </w:rPr>
        <w:t xml:space="preserve">劳务合同证明（满</w:t>
      </w:r>
      <w:r>
        <w:rPr>
          <w:rFonts w:hint="eastAsia" w:hAnsi="宋体" w:cs="宋体"/>
          <w:sz w:val="24"/>
          <w:szCs w:val="24"/>
        </w:rPr>
        <w:t xml:space="preserve">1</w:t>
      </w:r>
      <w:r>
        <w:rPr>
          <w:rFonts w:hint="eastAsia" w:hAnsi="宋体" w:cs="宋体"/>
          <w:sz w:val="24"/>
          <w:szCs w:val="24"/>
        </w:rPr>
        <w:t xml:space="preserve">年）以及提供近三个月任意一个月的社保缴纳证明材料，</w:t>
      </w:r>
      <w:r>
        <w:rPr>
          <w:rFonts w:hint="eastAsia" w:ascii="宋体" w:hAnsi="宋体" w:eastAsia="宋体" w:cs="宋体"/>
          <w:sz w:val="24"/>
          <w:szCs w:val="24"/>
        </w:rPr>
        <w:t xml:space="preserve">所有驾驶员须</w:t>
      </w:r>
      <w:r>
        <w:rPr>
          <w:rFonts w:ascii="宋体" w:hAnsi="宋体" w:eastAsia="宋体" w:cs="宋体"/>
          <w:sz w:val="24"/>
          <w:szCs w:val="24"/>
        </w:rPr>
        <w:t xml:space="preserve">无犯罪记录，无违法乱纪行为，文明上岗，诚信守时，作风正派，有较强的服务意识和保密意识等；</w:t>
      </w:r>
      <w:r>
        <w:rPr>
          <w:rFonts w:ascii="宋体" w:hAnsi="宋体" w:eastAsia="宋体" w:cs="Times New Roman"/>
          <w:sz w:val="24"/>
          <w:szCs w:val="24"/>
        </w:rPr>
        <w:t xml:space="preserve">租用</w:t>
      </w:r>
      <w:r>
        <w:rPr>
          <w:rFonts w:hint="eastAsia" w:ascii="宋体" w:hAnsi="宋体" w:eastAsia="宋体" w:cs="宋体"/>
          <w:sz w:val="24"/>
          <w:szCs w:val="24"/>
        </w:rPr>
        <w:t xml:space="preserve">采购包1（租赁性质）车辆要按照出租企业与第三方代驾公司协议计算司机劳务费且必须直接支付给第三方代驾公司。</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4"/>
        </w:rPr>
        <w:t xml:space="preserve">包二：驾驶员应取得相应的《从业资格证》。所有驾驶员须具有</w:t>
      </w:r>
      <w:r>
        <w:rPr>
          <w:rFonts w:ascii="宋体" w:hAnsi="宋体" w:eastAsia="宋体" w:cs="宋体"/>
          <w:sz w:val="24"/>
          <w:szCs w:val="24"/>
        </w:rPr>
        <w:t xml:space="preserve"> 3年及以上驾龄，3年内无重大交通事故，无犯罪记录，无违法乱纪行为，文明上岗，诚信守时，作风正派，有较强的服务意识和保密意识等。</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包三：驾驶员须具有有效的《从业资格证》。所有驾驶员须具有 3年及以上驾龄，3年内无重大交通事故，与供应商签订合法有效的合同满1年以及</w:t>
      </w:r>
      <w:r>
        <w:rPr>
          <w:rFonts w:hint="eastAsia" w:ascii="宋体" w:hAnsi="宋体" w:eastAsia="宋体" w:cs="宋体"/>
          <w:sz w:val="24"/>
          <w:szCs w:val="24"/>
        </w:rPr>
        <w:t xml:space="preserve">提供近三个月任意一个月的社保缴纳证明材料</w:t>
      </w:r>
      <w:r>
        <w:rPr>
          <w:rFonts w:hint="eastAsia" w:ascii="宋体" w:hAnsi="宋体" w:eastAsia="宋体" w:cs="宋体"/>
          <w:sz w:val="24"/>
          <w:szCs w:val="20"/>
        </w:rPr>
        <w:t xml:space="preserve">，无犯罪记录，无违法乱纪行为，文明上岗，诚信守时，作风正派，有较强的服务意识和保密意识等。</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包四：驾驶员须具有有效的《从业资格证》。所有驾驶员须具有 3年及以上驾龄，3年内无重大交通事故，与供应商签订合法有效的合同满1年以及</w:t>
      </w:r>
      <w:r>
        <w:rPr>
          <w:rFonts w:hint="eastAsia" w:ascii="宋体" w:hAnsi="宋体" w:eastAsia="宋体" w:cs="宋体"/>
          <w:sz w:val="24"/>
          <w:szCs w:val="24"/>
        </w:rPr>
        <w:t xml:space="preserve">提供近三个月任意一个月的社保缴纳证明材料</w:t>
      </w:r>
      <w:r>
        <w:rPr>
          <w:rFonts w:hint="eastAsia" w:ascii="宋体" w:hAnsi="宋体" w:eastAsia="宋体" w:cs="宋体"/>
          <w:sz w:val="24"/>
          <w:szCs w:val="20"/>
        </w:rPr>
        <w:t xml:space="preserve">，无犯罪记录，无违法乱纪行为，文明上岗，诚信守时，作风正派，有较强的服务意识和保密意识等。</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5</w:t>
      </w:r>
      <w:r>
        <w:rPr>
          <w:rFonts w:ascii="宋体" w:hAnsi="宋体" w:eastAsia="宋体" w:cs="宋体"/>
          <w:sz w:val="24"/>
          <w:szCs w:val="20"/>
        </w:rPr>
        <w:t xml:space="preserve">.4</w:t>
      </w:r>
      <w:r>
        <w:rPr>
          <w:rFonts w:hint="eastAsia" w:ascii="宋体" w:hAnsi="宋体" w:eastAsia="宋体" w:cs="宋体"/>
          <w:sz w:val="24"/>
          <w:szCs w:val="20"/>
        </w:rPr>
        <w:t xml:space="preserve">回场要求：服务结束后，供应商应规范、及时进行车辆回场操作。盐城市公务用车管理平台将评价短信发送给用车人，服务满意度评价等级分为“优、良、合格、不合格”，超过48小时后未被评价的订单默认为“优”。满意度低于90％，相关部门将进行约谈供应商;低于80％，有权终止合同。</w:t>
      </w:r>
      <w:r/>
    </w:p>
    <w:p>
      <w:pPr>
        <w:ind w:firstLine="480"/>
        <w:jc w:val="left"/>
        <w:spacing w:line="500" w:lineRule="atLeast"/>
        <w:widowControl/>
        <w:rPr>
          <w:rFonts w:ascii="宋体" w:hAnsi="宋体" w:eastAsia="宋体" w:cs="宋体"/>
          <w:b/>
          <w:bCs/>
          <w:sz w:val="24"/>
          <w:szCs w:val="20"/>
        </w:rPr>
      </w:pPr>
      <w:r>
        <w:rPr>
          <w:rFonts w:ascii="宋体" w:hAnsi="宋体" w:eastAsia="宋体" w:cs="宋体"/>
          <w:b/>
          <w:bCs/>
          <w:sz w:val="24"/>
          <w:szCs w:val="20"/>
        </w:rPr>
        <w:t xml:space="preserve">6</w:t>
      </w:r>
      <w:r>
        <w:rPr>
          <w:rFonts w:hint="eastAsia" w:ascii="宋体" w:hAnsi="宋体" w:eastAsia="宋体" w:cs="宋体"/>
          <w:b/>
          <w:bCs/>
          <w:sz w:val="24"/>
          <w:szCs w:val="20"/>
        </w:rPr>
        <w:t xml:space="preserve">安全及监管要求</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6</w:t>
      </w:r>
      <w:r>
        <w:rPr>
          <w:rFonts w:ascii="宋体" w:hAnsi="宋体" w:eastAsia="宋体" w:cs="宋体"/>
          <w:sz w:val="24"/>
          <w:szCs w:val="20"/>
        </w:rPr>
        <w:t xml:space="preserve">.1</w:t>
      </w:r>
      <w:r>
        <w:rPr>
          <w:rFonts w:hint="eastAsia" w:ascii="宋体" w:hAnsi="宋体" w:eastAsia="宋体" w:cs="宋体"/>
          <w:sz w:val="24"/>
          <w:szCs w:val="20"/>
        </w:rPr>
        <w:t xml:space="preserve">供应商须建立健全专门的安全管理机制，定期对驾驶员开展安全教育；对每个驾驶员进行岗前素质培训，传达、学习有关安全、文明营运文件，对驾驶员的安全行车提出具体要求，消除事故隐患，开好安全车。</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6</w:t>
      </w:r>
      <w:r>
        <w:rPr>
          <w:rFonts w:ascii="宋体" w:hAnsi="宋体" w:eastAsia="宋体" w:cs="宋体"/>
          <w:sz w:val="24"/>
          <w:szCs w:val="20"/>
        </w:rPr>
        <w:t xml:space="preserve">.2</w:t>
      </w:r>
      <w:r>
        <w:rPr>
          <w:rFonts w:hint="eastAsia" w:ascii="宋体" w:hAnsi="宋体" w:eastAsia="宋体" w:cs="宋体"/>
          <w:sz w:val="24"/>
          <w:szCs w:val="20"/>
        </w:rPr>
        <w:t xml:space="preserve">服务车辆应严格依照《盐城市党政机关公务用车管理办法》进行管理。供应商要建立车辆卫星定位和监控系统，对所有运营车辆实行24小时动态监控和监管，出现违规违纪或违反《盐城市党政机关公务用车管理办法》相关规定要求等情况，即时提醒，做到“车辆一动，监督受控，车辆不停，监控不止”，以保障车辆运行的规范和安全，利用车辆卫星定位系统随时监控租赁服务车辆的去向动态及记录行驶轨迹。</w:t>
      </w:r>
      <w:r/>
    </w:p>
    <w:p>
      <w:pPr>
        <w:ind w:firstLine="482"/>
        <w:jc w:val="left"/>
        <w:spacing w:line="500" w:lineRule="atLeast"/>
        <w:widowControl/>
        <w:rPr>
          <w:rFonts w:ascii="宋体" w:hAnsi="宋体" w:eastAsia="宋体" w:cs="宋体"/>
          <w:b/>
          <w:bCs/>
          <w:sz w:val="24"/>
          <w:szCs w:val="20"/>
        </w:rPr>
      </w:pPr>
      <w:r>
        <w:rPr>
          <w:rFonts w:hint="eastAsia" w:ascii="宋体" w:hAnsi="宋体" w:eastAsia="宋体" w:cs="宋体"/>
          <w:sz w:val="24"/>
          <w:szCs w:val="20"/>
        </w:rPr>
        <w:t xml:space="preserve">6</w:t>
      </w:r>
      <w:r>
        <w:rPr>
          <w:rFonts w:ascii="宋体" w:hAnsi="宋体" w:eastAsia="宋体" w:cs="宋体"/>
          <w:sz w:val="24"/>
          <w:szCs w:val="20"/>
        </w:rPr>
        <w:t xml:space="preserve">.3</w:t>
      </w:r>
      <w:r>
        <w:rPr>
          <w:rFonts w:hint="eastAsia" w:ascii="宋体" w:hAnsi="宋体" w:eastAsia="宋体" w:cs="宋体"/>
          <w:sz w:val="24"/>
          <w:szCs w:val="20"/>
        </w:rPr>
        <w:t xml:space="preserve">入围供应商在提供服务时须遵守有关保密规定。</w:t>
      </w:r>
      <w:r>
        <w:rPr>
          <w:rFonts w:hint="eastAsia" w:ascii="宋体" w:hAnsi="宋体" w:eastAsia="宋体" w:cs="宋体"/>
          <w:b/>
          <w:bCs/>
          <w:sz w:val="24"/>
          <w:szCs w:val="20"/>
        </w:rPr>
        <w:t xml:space="preserve">供应商在响应文件中须提供保密承诺书（格式见附件），否则响应文件无效。</w:t>
      </w:r>
      <w:r/>
    </w:p>
    <w:p>
      <w:pPr>
        <w:ind w:firstLine="482"/>
        <w:jc w:val="left"/>
        <w:spacing w:line="500" w:lineRule="atLeast"/>
        <w:widowControl/>
        <w:rPr>
          <w:rFonts w:ascii="宋体" w:hAnsi="宋体" w:eastAsia="宋体" w:cs="宋体"/>
          <w:sz w:val="24"/>
          <w:szCs w:val="20"/>
        </w:rPr>
      </w:pPr>
      <w:r>
        <w:rPr>
          <w:rFonts w:ascii="宋体" w:hAnsi="宋体" w:eastAsia="宋体" w:cs="宋体"/>
          <w:sz w:val="24"/>
          <w:szCs w:val="20"/>
        </w:rPr>
        <w:t xml:space="preserve">6.4第一阶段入围供应商确定后，供应商应当在‘苏采云’系统框架协议电子采购平台维护并展示其具体的服务信息，便于用车人线上下单采购</w:t>
      </w:r>
      <w:r>
        <w:rPr>
          <w:rFonts w:hint="eastAsia" w:ascii="宋体" w:hAnsi="宋体" w:eastAsia="宋体" w:cs="宋体"/>
          <w:sz w:val="24"/>
          <w:szCs w:val="20"/>
        </w:rPr>
        <w:t xml:space="preserve">。</w:t>
      </w:r>
      <w:r/>
    </w:p>
    <w:p>
      <w:pPr>
        <w:ind w:firstLine="482"/>
        <w:jc w:val="left"/>
        <w:spacing w:line="500" w:lineRule="atLeast"/>
        <w:widowControl/>
        <w:rPr>
          <w:rFonts w:ascii="宋体" w:hAnsi="宋体" w:eastAsia="宋体" w:cs="宋体"/>
          <w:b/>
          <w:bCs/>
          <w:sz w:val="24"/>
          <w:szCs w:val="20"/>
        </w:rPr>
      </w:pPr>
      <w:r>
        <w:rPr>
          <w:rFonts w:ascii="宋体" w:hAnsi="宋体" w:eastAsia="宋体" w:cs="宋体"/>
          <w:b/>
          <w:bCs/>
          <w:sz w:val="24"/>
          <w:szCs w:val="20"/>
        </w:rPr>
        <w:t xml:space="preserve">7</w:t>
      </w:r>
      <w:r>
        <w:rPr>
          <w:rFonts w:hint="eastAsia" w:ascii="宋体" w:hAnsi="宋体" w:eastAsia="宋体" w:cs="宋体"/>
          <w:b/>
          <w:bCs/>
          <w:sz w:val="24"/>
          <w:szCs w:val="20"/>
        </w:rPr>
        <w:t xml:space="preserve">.二阶段合同授予</w:t>
      </w:r>
      <w:r/>
    </w:p>
    <w:p>
      <w:pPr>
        <w:ind w:firstLine="482"/>
        <w:jc w:val="left"/>
        <w:spacing w:line="500" w:lineRule="atLeast"/>
        <w:widowControl/>
        <w:rPr>
          <w:rFonts w:ascii="宋体" w:hAnsi="宋体" w:eastAsia="宋体" w:cs="宋体"/>
          <w:sz w:val="24"/>
          <w:szCs w:val="20"/>
        </w:rPr>
      </w:pPr>
      <w:r>
        <w:rPr>
          <w:rFonts w:ascii="宋体" w:hAnsi="宋体" w:eastAsia="宋体" w:cs="宋体"/>
          <w:sz w:val="24"/>
          <w:szCs w:val="20"/>
        </w:rPr>
        <w:t xml:space="preserve">7</w:t>
      </w:r>
      <w:r>
        <w:rPr>
          <w:rFonts w:hint="eastAsia" w:ascii="宋体" w:hAnsi="宋体" w:eastAsia="宋体" w:cs="宋体"/>
          <w:sz w:val="24"/>
          <w:szCs w:val="20"/>
        </w:rPr>
        <w:t xml:space="preserve">.1 供应商应按照《关于启用江苏省政府采购框架协议电子采购平台的通知》（苏财购〔2023〕35号）要求，登陆‘苏采云’系统框架协议电子采购平台进行报价、合同签订等工作。</w:t>
      </w:r>
      <w:r/>
    </w:p>
    <w:p>
      <w:pPr>
        <w:ind w:firstLine="482"/>
        <w:jc w:val="left"/>
        <w:spacing w:line="500" w:lineRule="atLeast"/>
        <w:widowControl/>
        <w:rPr>
          <w:rFonts w:ascii="宋体" w:hAnsi="宋体" w:eastAsia="宋体" w:cs="宋体"/>
          <w:sz w:val="24"/>
          <w:szCs w:val="20"/>
        </w:rPr>
      </w:pPr>
      <w:r>
        <w:rPr>
          <w:rFonts w:ascii="宋体" w:hAnsi="宋体" w:eastAsia="宋体" w:cs="宋体"/>
          <w:sz w:val="24"/>
          <w:szCs w:val="20"/>
        </w:rPr>
        <w:t xml:space="preserve">7</w:t>
      </w:r>
      <w:r>
        <w:rPr>
          <w:rFonts w:hint="eastAsia" w:ascii="宋体" w:hAnsi="宋体" w:eastAsia="宋体" w:cs="宋体"/>
          <w:sz w:val="24"/>
          <w:szCs w:val="20"/>
        </w:rPr>
        <w:t xml:space="preserve">.2确定第二阶段成交供应商应当由采购人或服务对象依据入围产品价格、质量以及服务便利性、用户评价等因素，从第一阶段入围供应商中直接选定。</w:t>
      </w:r>
      <w:r/>
    </w:p>
    <w:p>
      <w:pPr>
        <w:ind w:firstLine="482"/>
        <w:jc w:val="left"/>
        <w:spacing w:line="500" w:lineRule="atLeast"/>
        <w:widowControl/>
        <w:rPr>
          <w:rFonts w:ascii="宋体" w:hAnsi="宋体" w:eastAsia="宋体" w:cs="宋体"/>
          <w:sz w:val="24"/>
          <w:szCs w:val="20"/>
        </w:rPr>
      </w:pPr>
      <w:r>
        <w:rPr>
          <w:rFonts w:ascii="宋体" w:hAnsi="宋体" w:eastAsia="宋体" w:cs="宋体"/>
          <w:sz w:val="24"/>
          <w:szCs w:val="20"/>
        </w:rPr>
        <w:t xml:space="preserve">7</w:t>
      </w:r>
      <w:r>
        <w:rPr>
          <w:rFonts w:hint="eastAsia" w:ascii="宋体" w:hAnsi="宋体" w:eastAsia="宋体" w:cs="宋体"/>
          <w:sz w:val="24"/>
          <w:szCs w:val="20"/>
        </w:rPr>
        <w:t xml:space="preserve">.3 用车人使用流程：</w:t>
      </w:r>
      <w:r/>
    </w:p>
    <w:p>
      <w:pPr>
        <w:numPr>
          <w:ilvl w:val="255"/>
          <w:numId w:val="0"/>
        </w:num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7</w:t>
      </w:r>
      <w:r>
        <w:rPr>
          <w:rFonts w:ascii="宋体" w:hAnsi="宋体" w:eastAsia="宋体" w:cs="宋体"/>
          <w:sz w:val="24"/>
          <w:szCs w:val="20"/>
        </w:rPr>
        <w:t xml:space="preserve">.3.1</w:t>
      </w:r>
      <w:r>
        <w:rPr>
          <w:rFonts w:hint="eastAsia" w:ascii="宋体" w:hAnsi="宋体" w:eastAsia="宋体" w:cs="宋体"/>
          <w:sz w:val="24"/>
          <w:szCs w:val="20"/>
        </w:rPr>
        <w:t xml:space="preserve">用车人在预算管理一体化系统执行版块填报采购实施计划（采购方式选择框架协议采购），并关联政府采购指标，采购实施计划经审核后自动推送至‘苏采云’系统，方可实施后续采购”内容。用车人在完成单位内部审批后，登录“盐城市公务用车管理平台”申请用车，在公务用车管理平台确认无法提供公务保障车辆后，可自主选择第一阶段入围供应商。</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7</w:t>
      </w:r>
      <w:r>
        <w:rPr>
          <w:rFonts w:ascii="宋体" w:hAnsi="宋体" w:eastAsia="宋体" w:cs="宋体"/>
          <w:sz w:val="24"/>
          <w:szCs w:val="20"/>
        </w:rPr>
        <w:t xml:space="preserve">.3.2</w:t>
      </w:r>
      <w:r>
        <w:rPr>
          <w:rFonts w:hint="eastAsia" w:ascii="宋体" w:hAnsi="宋体" w:eastAsia="宋体" w:cs="宋体"/>
          <w:sz w:val="24"/>
          <w:szCs w:val="20"/>
        </w:rPr>
        <w:t xml:space="preserve">用车人在确定供应商后，需要按照《关于启用江苏省政府采购框架协议电子采购平台的通知》（苏财购〔20</w:t>
      </w:r>
      <w:r>
        <w:rPr>
          <w:rFonts w:hint="eastAsia" w:ascii="宋体" w:hAnsi="宋体" w:eastAsia="宋体" w:cs="宋体"/>
          <w:sz w:val="24"/>
          <w:szCs w:val="20"/>
        </w:rPr>
        <w:t xml:space="preserve">23〕35号）要求，登录‘苏采云’系统框架协议电子采购平台下单采购，并进行合同签订、合同备案等工作。供应商通过自建的车辆管理系统或者“盐城市公务用车管理平台”接收订单，调度符合服务要求的车辆，并将车辆、驾驶员信息反馈给“盐城市公务用车管理平台”，平台将相关用车信息通过短信发送给用车人，供应商在有可用车辆的情况下不得拒单。供应商超过10分钟没有响应订单，用车人可以重新选择其他供应商。用车人在服务开始前40分钟可以取消订单，可备注服务保障的个性化要求，未提前申请的紧急用车情况可在24小时内通过平台补录订单信息。</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7</w:t>
      </w:r>
      <w:r>
        <w:rPr>
          <w:rFonts w:ascii="宋体" w:hAnsi="宋体" w:eastAsia="宋体" w:cs="宋体"/>
          <w:sz w:val="24"/>
          <w:szCs w:val="20"/>
        </w:rPr>
        <w:t xml:space="preserve">.3.3</w:t>
      </w:r>
      <w:r>
        <w:rPr>
          <w:rFonts w:hint="eastAsia" w:ascii="宋体" w:hAnsi="宋体" w:eastAsia="宋体" w:cs="宋体"/>
          <w:sz w:val="24"/>
          <w:szCs w:val="20"/>
        </w:rPr>
        <w:t xml:space="preserve">公务出行保障期间，供应商通过自建平台或《公务出行车辆租赁服务单》准确记录服务开始时间和车辆回场时间，并留存整个行车轨迹信息。</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7</w:t>
      </w:r>
      <w:r>
        <w:rPr>
          <w:rFonts w:ascii="宋体" w:hAnsi="宋体" w:eastAsia="宋体" w:cs="宋体"/>
          <w:sz w:val="24"/>
          <w:szCs w:val="20"/>
        </w:rPr>
        <w:t xml:space="preserve">.3.4</w:t>
      </w:r>
      <w:r>
        <w:rPr>
          <w:rFonts w:hint="eastAsia" w:ascii="宋体" w:hAnsi="宋体" w:eastAsia="宋体" w:cs="宋体"/>
          <w:sz w:val="24"/>
          <w:szCs w:val="20"/>
        </w:rPr>
        <w:t xml:space="preserve">服务结束后，平台将评价短信发送给用车人，评价等级分为“优、良、合格、不合格”，超过48小时后未被评价的订单默认为“优”。</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7</w:t>
      </w:r>
      <w:r>
        <w:rPr>
          <w:rFonts w:ascii="宋体" w:hAnsi="宋体" w:eastAsia="宋体" w:cs="宋体"/>
          <w:sz w:val="24"/>
          <w:szCs w:val="20"/>
        </w:rPr>
        <w:t xml:space="preserve">.3.5</w:t>
      </w:r>
      <w:r>
        <w:rPr>
          <w:rFonts w:hint="eastAsia" w:ascii="宋体" w:hAnsi="宋体" w:eastAsia="宋体" w:cs="宋体"/>
          <w:sz w:val="24"/>
          <w:szCs w:val="20"/>
        </w:rPr>
        <w:t xml:space="preserve">服务结束后，供应商将费用结算信息推送给“盐城市公务用车管理平台”，经用车单位确认后，平台生成完整的订单信息和费用信息，供应商和用车单位据此结算费用。</w:t>
      </w:r>
      <w:bookmarkEnd w:id="204"/>
      <w:r/>
      <w:bookmarkEnd w:id="205"/>
      <w:r/>
      <w:r/>
    </w:p>
    <w:p>
      <w:pPr>
        <w:ind w:firstLine="482"/>
        <w:jc w:val="left"/>
        <w:spacing w:line="500" w:lineRule="atLeast"/>
        <w:widowControl/>
        <w:rPr>
          <w:rFonts w:ascii="宋体" w:hAnsi="宋体" w:eastAsia="宋体" w:cs="宋体"/>
          <w:b/>
          <w:bCs/>
          <w:sz w:val="24"/>
          <w:szCs w:val="20"/>
        </w:rPr>
      </w:pPr>
      <w:r>
        <w:rPr>
          <w:rFonts w:ascii="宋体" w:hAnsi="宋体" w:eastAsia="宋体" w:cs="宋体"/>
          <w:b/>
          <w:bCs/>
          <w:sz w:val="24"/>
          <w:szCs w:val="20"/>
        </w:rPr>
        <w:t xml:space="preserve">8</w:t>
      </w:r>
      <w:r>
        <w:rPr>
          <w:rFonts w:hint="eastAsia" w:ascii="宋体" w:hAnsi="宋体" w:eastAsia="宋体" w:cs="宋体"/>
          <w:b/>
          <w:bCs/>
          <w:sz w:val="24"/>
          <w:szCs w:val="20"/>
        </w:rPr>
        <w:t xml:space="preserve">.履约管理要求</w:t>
      </w:r>
      <w:r/>
    </w:p>
    <w:p>
      <w:pPr>
        <w:ind w:firstLine="482"/>
        <w:jc w:val="left"/>
        <w:spacing w:line="500" w:lineRule="atLeast"/>
        <w:widowControl/>
        <w:rPr>
          <w:rFonts w:ascii="宋体" w:hAnsi="宋体" w:eastAsia="宋体" w:cs="宋体"/>
          <w:b/>
          <w:bCs/>
          <w:sz w:val="24"/>
          <w:szCs w:val="20"/>
        </w:rPr>
      </w:pPr>
      <w:r>
        <w:rPr>
          <w:rFonts w:ascii="宋体" w:hAnsi="宋体" w:eastAsia="宋体" w:cs="宋体"/>
          <w:b/>
          <w:bCs/>
          <w:sz w:val="24"/>
          <w:szCs w:val="20"/>
        </w:rPr>
        <w:t xml:space="preserve">8</w:t>
      </w:r>
      <w:r>
        <w:rPr>
          <w:rFonts w:hint="eastAsia" w:ascii="宋体" w:hAnsi="宋体" w:eastAsia="宋体" w:cs="宋体"/>
          <w:b/>
          <w:bCs/>
          <w:sz w:val="24"/>
          <w:szCs w:val="20"/>
        </w:rPr>
        <w:t xml:space="preserve">.1 管理形式</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盐城市机关事务管理局将会同有关主管部门、政采监管部门定期或不定期地对入围供应商的服务质量、履约情况进行监督检查。检查和处理结果将在框架协议系统公布。</w:t>
      </w:r>
      <w:r/>
    </w:p>
    <w:p>
      <w:pPr>
        <w:ind w:firstLine="482"/>
        <w:jc w:val="left"/>
        <w:spacing w:line="500" w:lineRule="atLeast"/>
        <w:widowControl/>
        <w:rPr>
          <w:rFonts w:ascii="宋体" w:hAnsi="宋体" w:eastAsia="宋体" w:cs="宋体"/>
          <w:b/>
          <w:bCs/>
          <w:sz w:val="24"/>
          <w:szCs w:val="20"/>
        </w:rPr>
      </w:pPr>
      <w:r>
        <w:rPr>
          <w:rFonts w:ascii="宋体" w:hAnsi="宋体" w:eastAsia="宋体" w:cs="宋体"/>
          <w:b/>
          <w:bCs/>
          <w:sz w:val="24"/>
          <w:szCs w:val="20"/>
        </w:rPr>
        <w:t xml:space="preserve">8</w:t>
      </w:r>
      <w:r>
        <w:rPr>
          <w:rFonts w:hint="eastAsia" w:ascii="宋体" w:hAnsi="宋体" w:eastAsia="宋体" w:cs="宋体"/>
          <w:b/>
          <w:bCs/>
          <w:sz w:val="24"/>
          <w:szCs w:val="20"/>
        </w:rPr>
        <w:t xml:space="preserve">.2 管理标准</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在监管检查中，如发现以下情形，视为不合格行为。相关部门在核实情况后将对相关责任供应商予以处理：</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（1）入围供应商提供的服务不符合国家有关规定、响应承诺和框架协议规定。</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（2）无正当理由拒单或不按照承诺提供服务。</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（3）具体项目成交价高于其入围价格或服务承诺。</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（4）使用不正当竞争手段，影响采购单位正常采购活动。</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（5）满意度调查中采购人反馈不满意，经核实确系供应商责任。</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（6）其他违法违规行为。</w:t>
      </w:r>
      <w:r/>
    </w:p>
    <w:p>
      <w:pPr>
        <w:ind w:firstLine="480"/>
        <w:jc w:val="left"/>
        <w:spacing w:line="500" w:lineRule="atLeast"/>
        <w:widowControl/>
        <w:rPr>
          <w:rFonts w:ascii="宋体" w:hAnsi="宋体" w:eastAsia="宋体" w:cs="宋体"/>
          <w:b/>
          <w:bCs/>
          <w:sz w:val="24"/>
          <w:szCs w:val="20"/>
        </w:rPr>
      </w:pPr>
      <w:r>
        <w:rPr>
          <w:rFonts w:ascii="宋体" w:hAnsi="宋体" w:eastAsia="宋体" w:cs="宋体"/>
          <w:b/>
          <w:bCs/>
          <w:sz w:val="24"/>
          <w:szCs w:val="20"/>
        </w:rPr>
        <w:t xml:space="preserve">8</w:t>
      </w:r>
      <w:r>
        <w:rPr>
          <w:rFonts w:hint="eastAsia" w:ascii="宋体" w:hAnsi="宋体" w:eastAsia="宋体" w:cs="宋体"/>
          <w:b/>
          <w:bCs/>
          <w:sz w:val="24"/>
          <w:szCs w:val="20"/>
        </w:rPr>
        <w:t xml:space="preserve">.3 管理措施</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对履约监管中发现的不合格行为，按以下措施处理：</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（1）整改</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入围供应商在框架协议服务期间存在不合格行为的，由相关部门出具《责令整改通知书》，限定时间完成整改。被开具《责令整改通知书》的供应商，视作差评，记录在案。</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（2）暂停交易资格</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对拒不接受相关部门约谈，或者规定时间未按《责令整改通知书》完成整改的供应商，暂停其框架协议交易资格三个月。</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（3）终止交易资格</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（4）解决争议的方法</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双方在执行合同中所发生的一切争议，应通过协商解决。如协商不成，可向采购人所在地人民法院起诉。</w:t>
      </w:r>
      <w:r/>
    </w:p>
    <w:p>
      <w:pPr>
        <w:ind w:firstLine="480"/>
        <w:jc w:val="left"/>
        <w:spacing w:line="500" w:lineRule="atLeast"/>
        <w:widowControl/>
        <w:rPr>
          <w:rFonts w:ascii="宋体" w:hAnsi="宋体" w:eastAsia="宋体" w:cs="宋体"/>
          <w:b/>
          <w:bCs/>
          <w:sz w:val="24"/>
          <w:szCs w:val="20"/>
        </w:rPr>
      </w:pPr>
      <w:r>
        <w:rPr>
          <w:rFonts w:hint="eastAsia" w:ascii="宋体" w:hAnsi="宋体" w:eastAsia="宋体" w:cs="宋体"/>
          <w:b/>
          <w:bCs/>
          <w:sz w:val="24"/>
          <w:szCs w:val="20"/>
        </w:rPr>
        <w:t xml:space="preserve">（二）有关说明</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1.供应商框架协议期内的综合报价包括满足本项目服务要求的从项目入围起到项目正式交付所发生的一切费用。</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2.供应商必须在满足征集文件要求的基础上进行报价，如有偏离请于征集文件需求偏离表中说明。</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3.质量及验收：采购人根据国家有关规定、征集文件、供应商的响应文件以及合同约定的内容和验收标准进行验收。验收情况作为支付货款的依据。如有质疑，以相关质量技术检验检测机构的检验结果为准，如产生检验费用，则该费用由过失方承担。</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4.入围供应商为小微企业或残疾人福利性单位的，其《中小企业声明函》或《残疾人福利性单位声明函》将随入围公告同时发布，接受社会监督。供应商提供的《中小企业声明函》或《残疾人福利性单位声明函》与事实不符的，依照《政府采购法》第七十七条第一款的规定追究法律责任。</w:t>
      </w:r>
      <w:r/>
    </w:p>
    <w:p>
      <w:pPr>
        <w:ind w:firstLine="482"/>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5.依据《政府采购促进中小企业发展管理办法》规定享受扶持政策获得政府采购合同的，小微企业不得将合同分包给大中型企业，中型企业不得将合同分包给大型企业。</w:t>
      </w:r>
      <w:r/>
    </w:p>
    <w:p>
      <w:pPr>
        <w:ind w:firstLine="482"/>
        <w:spacing w:line="500" w:lineRule="atLeast"/>
        <w:rPr>
          <w:rFonts w:ascii="宋体" w:hAnsi="宋体" w:eastAsia="宋体" w:cs="宋体"/>
          <w:sz w:val="24"/>
          <w:szCs w:val="20"/>
        </w:rPr>
      </w:pPr>
      <w:r>
        <w:rPr>
          <w:rFonts w:hint="eastAsia" w:ascii="宋体" w:hAnsi="宋体" w:eastAsia="宋体" w:cs="宋体"/>
          <w:sz w:val="24"/>
          <w:szCs w:val="20"/>
        </w:rPr>
        <w:t xml:space="preserve">6.征集活动开始后，供应商须自行准备设备（包括但不限于笔记本电脑、无线网络）登录“苏采云”，按征集文件规定时间解密后，在评审过程中保持在线，等待评审小组的询标和评审结果，中途不得离开。如未按要求应答，由此所产生的损失及风险由供应商自行承担</w:t>
      </w:r>
      <w:bookmarkEnd w:id="203"/>
      <w:r/>
      <w:r/>
    </w:p>
    <w:p>
      <w:pPr>
        <w:ind w:firstLine="482"/>
        <w:spacing w:line="500" w:lineRule="atLeast"/>
        <w:rPr>
          <w:rFonts w:ascii="Times New Roman" w:hAnsi="Times New Roman" w:eastAsia="宋体" w:cs="Times New Roman"/>
          <w:szCs w:val="24"/>
        </w:rP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本项目包一、包二所属</w:t>
      </w:r>
      <w:r>
        <w:rPr>
          <w:rFonts w:hint="eastAsia" w:ascii="宋体" w:hAnsi="宋体" w:eastAsia="宋体" w:cs="宋体"/>
          <w:b/>
          <w:sz w:val="24"/>
          <w:szCs w:val="24"/>
          <w:u w:val="single"/>
        </w:rPr>
        <w:t xml:space="preserve">租赁和商务服务业</w:t>
      </w:r>
      <w:r>
        <w:rPr>
          <w:rFonts w:hint="eastAsia" w:ascii="宋体" w:hAnsi="宋体" w:eastAsia="宋体" w:cs="宋体"/>
          <w:b/>
          <w:sz w:val="24"/>
          <w:szCs w:val="24"/>
        </w:rPr>
        <w:t xml:space="preserve">，</w:t>
      </w:r>
      <w:r>
        <w:rPr>
          <w:rFonts w:hint="eastAsia" w:ascii="宋体" w:hAnsi="宋体" w:eastAsia="宋体" w:cs="宋体"/>
          <w:sz w:val="24"/>
          <w:szCs w:val="24"/>
        </w:rPr>
        <w:t xml:space="preserve">本项目包三、包四所属</w:t>
      </w:r>
      <w:r>
        <w:rPr>
          <w:rFonts w:hint="eastAsia" w:ascii="宋体" w:hAnsi="宋体" w:eastAsia="宋体" w:cs="宋体"/>
          <w:b/>
          <w:sz w:val="24"/>
          <w:szCs w:val="24"/>
          <w:u w:val="single"/>
        </w:rPr>
        <w:t xml:space="preserve">交通运输业</w:t>
      </w:r>
      <w:r>
        <w:rPr>
          <w:rFonts w:hint="eastAsia" w:ascii="宋体" w:hAnsi="宋体" w:eastAsia="宋体" w:cs="宋体"/>
          <w:sz w:val="24"/>
          <w:szCs w:val="24"/>
        </w:rPr>
        <w:t xml:space="preserve">根据《工业和信息化部、国家统计局、国家发展和改革委员会、财政部关于印发中小企业划型标准规定的通知》（工信部联企业〔2011〕300号）规定的划分标准填写。</w:t>
      </w:r>
      <w:r/>
    </w:p>
    <w:p>
      <w:pPr>
        <w:jc w:val="center"/>
        <w:spacing w:line="500" w:lineRule="atLeast"/>
        <w:rPr>
          <w:rFonts w:ascii="方正小标宋_GBK" w:hAnsi="方正小标宋_GBK" w:eastAsia="方正小标宋_GBK" w:cs="方正小标宋_GBK"/>
          <w:color w:val="000000"/>
          <w:sz w:val="40"/>
          <w:szCs w:val="40"/>
        </w:rPr>
      </w:pPr>
      <w:r>
        <w:rPr>
          <w:rFonts w:ascii="宋体" w:hAnsi="宋体" w:eastAsia="宋体" w:cs="Times New Roman"/>
          <w:szCs w:val="24"/>
        </w:rPr>
        <w:br w:type="page" w:clear="all"/>
      </w:r>
      <w:bookmarkStart w:id="211" w:name="_Toc128039583"/>
      <w:r>
        <w:rPr>
          <w:rFonts w:hint="eastAsia" w:ascii="方正小标宋_GBK" w:hAnsi="方正小标宋_GBK" w:eastAsia="方正小标宋_GBK" w:cs="方正小标宋_GBK"/>
          <w:color w:val="000000"/>
          <w:sz w:val="40"/>
          <w:szCs w:val="40"/>
        </w:rPr>
        <w:t xml:space="preserve">第五章  确定入围及成交供应商</w:t>
      </w:r>
      <w:bookmarkEnd w:id="211"/>
      <w:r/>
      <w:r/>
    </w:p>
    <w:p>
      <w:pPr>
        <w:rPr>
          <w:rFonts w:ascii="宋体" w:hAnsi="宋体" w:eastAsia="宋体" w:cs="Times New Roman"/>
          <w:szCs w:val="24"/>
        </w:rPr>
      </w:pPr>
      <w:r>
        <w:rPr>
          <w:rFonts w:ascii="宋体" w:hAnsi="宋体" w:eastAsia="宋体" w:cs="Times New Roman"/>
          <w:szCs w:val="24"/>
        </w:rPr>
      </w:r>
      <w:r/>
    </w:p>
    <w:p>
      <w:pPr>
        <w:ind w:firstLine="480"/>
        <w:jc w:val="left"/>
        <w:spacing w:line="500" w:lineRule="atLeast"/>
        <w:widowControl/>
        <w:rPr>
          <w:rFonts w:ascii="宋体" w:hAnsi="宋体" w:eastAsia="宋体" w:cs="宋体"/>
          <w:b/>
          <w:bCs/>
          <w:sz w:val="24"/>
          <w:szCs w:val="20"/>
        </w:rPr>
      </w:pPr>
      <w:r>
        <w:rPr>
          <w:rFonts w:hint="eastAsia" w:ascii="宋体" w:hAnsi="宋体" w:eastAsia="宋体" w:cs="宋体"/>
          <w:b/>
          <w:bCs/>
          <w:sz w:val="24"/>
          <w:szCs w:val="20"/>
        </w:rPr>
        <w:t xml:space="preserve">一、确定入围及成交供应商的方法</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1</w:t>
      </w:r>
      <w:r>
        <w:rPr>
          <w:rFonts w:ascii="宋体" w:hAnsi="宋体" w:eastAsia="宋体" w:cs="宋体"/>
          <w:sz w:val="24"/>
          <w:szCs w:val="20"/>
        </w:rPr>
        <w:t xml:space="preserve">.1</w:t>
      </w:r>
      <w:r>
        <w:rPr>
          <w:rFonts w:hint="eastAsia" w:ascii="宋体" w:hAnsi="宋体" w:eastAsia="宋体" w:cs="宋体"/>
          <w:sz w:val="24"/>
          <w:szCs w:val="20"/>
        </w:rPr>
        <w:t xml:space="preserve">确定第一阶段入围供应商的评审方法为价格优先法。价格优先法是指对满足采购需求且响应报价不超过最高限制单价，按照响应报价从低到高排序，根据征集文件规定的淘汰率或者入围供应商数量上限，确定入围供应商的评审方法。 </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1</w:t>
      </w:r>
      <w:r>
        <w:rPr>
          <w:rFonts w:ascii="宋体" w:hAnsi="宋体" w:eastAsia="宋体" w:cs="宋体"/>
          <w:sz w:val="24"/>
          <w:szCs w:val="20"/>
        </w:rPr>
        <w:t xml:space="preserve">.2</w:t>
      </w:r>
      <w:r>
        <w:rPr>
          <w:rFonts w:hint="eastAsia" w:ascii="宋体" w:hAnsi="宋体" w:eastAsia="宋体" w:cs="宋体"/>
          <w:sz w:val="24"/>
          <w:szCs w:val="20"/>
        </w:rPr>
        <w:t xml:space="preserve">入围供应商的淘汰比例：20%，淘汰家数按照逢点进位，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1</w:t>
      </w:r>
      <w:r>
        <w:rPr>
          <w:rFonts w:ascii="宋体" w:hAnsi="宋体" w:eastAsia="宋体" w:cs="宋体"/>
          <w:sz w:val="24"/>
          <w:szCs w:val="20"/>
        </w:rPr>
        <w:t xml:space="preserve">.3</w:t>
      </w:r>
      <w:r>
        <w:rPr>
          <w:rFonts w:hint="eastAsia" w:ascii="宋体" w:hAnsi="宋体" w:eastAsia="宋体" w:cs="宋体"/>
          <w:sz w:val="24"/>
          <w:szCs w:val="20"/>
        </w:rPr>
        <w:t xml:space="preserve">本项目采取下浮比例报价，以（1-下浮比例）作为供应商的报价参与价格评审。</w:t>
      </w:r>
      <w:r/>
    </w:p>
    <w:p>
      <w:pPr>
        <w:ind w:firstLine="480"/>
        <w:jc w:val="left"/>
        <w:spacing w:line="500" w:lineRule="atLeast"/>
        <w:widowControl/>
        <w:rPr>
          <w:rFonts w:ascii="宋体" w:hAnsi="宋体" w:eastAsia="宋体" w:cs="宋体"/>
          <w:sz w:val="24"/>
          <w:szCs w:val="20"/>
        </w:rPr>
      </w:pPr>
      <w:r>
        <w:rPr>
          <w:rFonts w:hint="eastAsia" w:ascii="宋体" w:hAnsi="宋体" w:eastAsia="宋体" w:cs="宋体"/>
          <w:sz w:val="24"/>
          <w:szCs w:val="20"/>
        </w:rPr>
        <w:t xml:space="preserve">如供应商报价相同，由评审小组通过现场抽签确定此类供应商排名顺序。</w:t>
      </w:r>
      <w:r/>
    </w:p>
    <w:p>
      <w:pPr>
        <w:ind w:firstLine="482"/>
        <w:jc w:val="left"/>
        <w:spacing w:line="500" w:lineRule="atLeast"/>
        <w:widowControl/>
        <w:rPr>
          <w:rFonts w:ascii="宋体" w:hAnsi="宋体" w:eastAsia="宋体" w:cs="宋体"/>
          <w:b/>
          <w:bCs/>
          <w:sz w:val="24"/>
          <w:szCs w:val="20"/>
        </w:rPr>
      </w:pPr>
      <w:r>
        <w:rPr>
          <w:rFonts w:hint="eastAsia" w:ascii="宋体" w:hAnsi="宋体" w:eastAsia="宋体" w:cs="宋体"/>
          <w:b/>
          <w:bCs/>
          <w:sz w:val="24"/>
          <w:szCs w:val="20"/>
        </w:rPr>
        <w:t xml:space="preserve">二、确定第二阶段成交供应商的方式</w:t>
      </w:r>
      <w:r/>
    </w:p>
    <w:p>
      <w:pPr>
        <w:ind w:firstLine="480"/>
        <w:jc w:val="left"/>
        <w:spacing w:line="500" w:lineRule="atLeast"/>
        <w:widowControl/>
        <w:rPr>
          <w:rFonts w:ascii="宋体" w:hAnsi="宋体" w:eastAsia="宋体" w:cs="宋体"/>
          <w:sz w:val="24"/>
          <w:szCs w:val="20"/>
        </w:rPr>
      </w:pPr>
      <w:r>
        <w:rPr>
          <w:rFonts w:ascii="宋体" w:hAnsi="宋体" w:eastAsia="宋体" w:cs="宋体"/>
          <w:sz w:val="24"/>
          <w:szCs w:val="20"/>
        </w:rPr>
        <w:t xml:space="preserve">2.1</w:t>
      </w:r>
      <w:r>
        <w:rPr>
          <w:rFonts w:hint="eastAsia" w:ascii="宋体" w:hAnsi="宋体" w:eastAsia="宋体" w:cs="宋体"/>
          <w:sz w:val="24"/>
          <w:szCs w:val="20"/>
        </w:rPr>
        <w:t xml:space="preserve"> 确定第二阶段成交供应商的方式为直接选定。由采购人通过盐城市公务用车管理平台从第一阶段入围供应商中直接选定。第一阶段入围供应商的协议价格是采购人确定第二阶段成交供应商的最高限价。</w:t>
      </w:r>
      <w:r/>
    </w:p>
    <w:p>
      <w:pPr>
        <w:ind w:firstLine="480"/>
        <w:jc w:val="left"/>
        <w:spacing w:line="500" w:lineRule="atLeast"/>
        <w:widowControl/>
        <w:rPr>
          <w:rFonts w:ascii="宋体" w:hAnsi="宋体" w:eastAsia="宋体" w:cs="宋体"/>
          <w:sz w:val="24"/>
          <w:szCs w:val="20"/>
        </w:rPr>
      </w:pPr>
      <w:r>
        <w:rPr>
          <w:rFonts w:ascii="宋体" w:hAnsi="宋体" w:eastAsia="宋体" w:cs="宋体"/>
          <w:sz w:val="24"/>
          <w:szCs w:val="20"/>
        </w:rPr>
        <w:t xml:space="preserve">2.2</w:t>
      </w:r>
      <w:r>
        <w:rPr>
          <w:rFonts w:hint="eastAsia" w:ascii="宋体" w:hAnsi="宋体" w:eastAsia="宋体" w:cs="宋体"/>
          <w:sz w:val="24"/>
          <w:szCs w:val="20"/>
        </w:rPr>
        <w:t xml:space="preserve">采购人在确定成交供应商后，不得擅自改变框架协议约定的实质性条款。供应商履行合同后，依据采购合同的约定，与采购人进行费用结算。</w:t>
      </w:r>
      <w:r/>
    </w:p>
    <w:p>
      <w:pPr>
        <w:ind w:firstLine="482"/>
        <w:spacing w:line="500" w:lineRule="atLeast"/>
        <w:rPr>
          <w:rFonts w:ascii="宋体" w:hAnsi="宋体" w:eastAsia="宋体" w:cs="宋体"/>
          <w:b/>
          <w:bCs/>
          <w:color w:val="000000"/>
          <w:sz w:val="24"/>
          <w:szCs w:val="20"/>
        </w:rPr>
      </w:pPr>
      <w:r/>
      <w:bookmarkStart w:id="212" w:name="_Toc128039584"/>
      <w:r>
        <w:rPr>
          <w:rFonts w:hint="eastAsia" w:ascii="宋体" w:hAnsi="宋体" w:eastAsia="宋体" w:cs="宋体"/>
          <w:b/>
          <w:bCs/>
          <w:color w:val="000000"/>
          <w:sz w:val="24"/>
          <w:szCs w:val="20"/>
        </w:rPr>
        <w:t xml:space="preserve">政府采购政策功能落实</w:t>
      </w:r>
      <w:r/>
    </w:p>
    <w:p>
      <w:pPr>
        <w:ind w:firstLine="480"/>
        <w:jc w:val="left"/>
        <w:spacing w:line="500" w:lineRule="atLeast"/>
        <w:rPr>
          <w:rFonts w:ascii="宋体" w:hAnsi="宋体" w:eastAsia="宋体" w:cs="宋体"/>
          <w:color w:val="000000"/>
          <w:sz w:val="24"/>
          <w:szCs w:val="20"/>
        </w:rPr>
      </w:pPr>
      <w:r>
        <w:rPr>
          <w:rFonts w:hint="eastAsia" w:ascii="宋体" w:hAnsi="宋体" w:eastAsia="宋体" w:cs="宋体"/>
          <w:color w:val="000000"/>
          <w:sz w:val="24"/>
          <w:szCs w:val="20"/>
        </w:rPr>
        <w:t xml:space="preserve">1、小微型企业价格扣除</w:t>
      </w:r>
      <w:r/>
    </w:p>
    <w:p>
      <w:pPr>
        <w:ind w:firstLine="480"/>
        <w:jc w:val="left"/>
        <w:spacing w:line="500" w:lineRule="atLeast"/>
        <w:rPr>
          <w:rFonts w:ascii="宋体" w:hAnsi="宋体" w:eastAsia="宋体" w:cs="宋体"/>
          <w:color w:val="000000"/>
          <w:sz w:val="24"/>
          <w:szCs w:val="20"/>
        </w:rPr>
      </w:pPr>
      <w:r>
        <w:rPr>
          <w:rFonts w:hint="eastAsia" w:ascii="宋体" w:hAnsi="宋体" w:eastAsia="宋体" w:cs="宋体"/>
          <w:color w:val="000000"/>
          <w:sz w:val="24"/>
          <w:szCs w:val="20"/>
        </w:rPr>
        <w:t xml:space="preserve">（1）本项目包一、包三、包四专门面向中小企业采购，不再对小型和微型企业报价给予价格扣除；本项目包二不专门面向中小企业采购，对小型和微型企业报价给予2</w:t>
      </w:r>
      <w:r>
        <w:rPr>
          <w:rFonts w:ascii="宋体" w:hAnsi="宋体" w:eastAsia="宋体" w:cs="宋体"/>
          <w:color w:val="000000"/>
          <w:sz w:val="24"/>
          <w:szCs w:val="20"/>
        </w:rPr>
        <w:t xml:space="preserve">0%</w:t>
      </w:r>
      <w:r>
        <w:rPr>
          <w:rFonts w:hint="eastAsia" w:ascii="宋体" w:hAnsi="宋体" w:eastAsia="宋体" w:cs="宋体"/>
          <w:color w:val="000000"/>
          <w:sz w:val="24"/>
          <w:szCs w:val="20"/>
        </w:rPr>
        <w:t xml:space="preserve">价格扣除。</w:t>
      </w:r>
      <w:r/>
    </w:p>
    <w:p>
      <w:pPr>
        <w:ind w:firstLine="480"/>
        <w:jc w:val="left"/>
        <w:spacing w:line="500" w:lineRule="atLeast"/>
        <w:rPr>
          <w:rFonts w:ascii="宋体" w:hAnsi="宋体" w:eastAsia="宋体" w:cs="宋体"/>
          <w:color w:val="000000"/>
          <w:sz w:val="24"/>
          <w:szCs w:val="20"/>
        </w:rPr>
      </w:pPr>
      <w:r>
        <w:rPr>
          <w:rFonts w:hint="eastAsia" w:ascii="宋体" w:hAnsi="宋体" w:eastAsia="宋体" w:cs="宋体"/>
          <w:color w:val="000000"/>
          <w:sz w:val="24"/>
          <w:szCs w:val="20"/>
        </w:rPr>
        <w:t xml:space="preserve">（2）供应商需按照采购文件的要求提供相应的《中小企业声明函》。</w:t>
      </w:r>
      <w:r/>
    </w:p>
    <w:p>
      <w:pPr>
        <w:ind w:firstLine="480"/>
        <w:jc w:val="left"/>
        <w:spacing w:line="500" w:lineRule="atLeast"/>
        <w:rPr>
          <w:rFonts w:ascii="宋体" w:hAnsi="宋体" w:eastAsia="宋体" w:cs="宋体"/>
          <w:color w:val="000000"/>
          <w:sz w:val="24"/>
          <w:szCs w:val="20"/>
        </w:rPr>
      </w:pPr>
      <w:r>
        <w:rPr>
          <w:rFonts w:hint="eastAsia" w:ascii="宋体" w:hAnsi="宋体" w:eastAsia="宋体" w:cs="宋体"/>
          <w:color w:val="000000"/>
          <w:sz w:val="24"/>
          <w:szCs w:val="20"/>
        </w:rPr>
        <w:t xml:space="preserve">（3）企业标准请参照《关于印发中小企业划型标准规定的通知》（工信部联企业[2011]300号）文件规定自行填写。</w:t>
      </w:r>
      <w:r/>
    </w:p>
    <w:p>
      <w:pPr>
        <w:ind w:firstLine="480"/>
        <w:jc w:val="left"/>
        <w:spacing w:line="500" w:lineRule="atLeast"/>
        <w:rPr>
          <w:rFonts w:ascii="宋体" w:hAnsi="宋体" w:eastAsia="宋体" w:cs="宋体"/>
          <w:color w:val="000000"/>
          <w:sz w:val="24"/>
          <w:szCs w:val="20"/>
        </w:rPr>
      </w:pPr>
      <w:r>
        <w:rPr>
          <w:rFonts w:hint="eastAsia" w:ascii="宋体" w:hAnsi="宋体" w:eastAsia="宋体" w:cs="宋体"/>
          <w:color w:val="000000"/>
          <w:sz w:val="24"/>
          <w:szCs w:val="20"/>
        </w:rPr>
        <w:t xml:space="preserve">2、残疾人福利单位、监狱企业属于小型、微型企业的，不重复享受政策。</w:t>
      </w:r>
      <w:r/>
    </w:p>
    <w:p>
      <w:pPr>
        <w:ind w:firstLine="480"/>
        <w:spacing w:line="500" w:lineRule="atLeast"/>
        <w:rPr>
          <w:rFonts w:ascii="宋体" w:hAnsi="宋体" w:eastAsia="宋体" w:cs="宋体"/>
          <w:color w:val="000000"/>
          <w:sz w:val="24"/>
          <w:szCs w:val="20"/>
        </w:rPr>
      </w:pPr>
      <w:r>
        <w:rPr>
          <w:rFonts w:hint="eastAsia" w:ascii="宋体" w:hAnsi="宋体" w:eastAsia="宋体" w:cs="宋体"/>
          <w:color w:val="000000"/>
          <w:sz w:val="24"/>
          <w:szCs w:val="20"/>
        </w:rPr>
        <w:t xml:space="preserve">3、严格执行政府采购关于支持</w:t>
      </w:r>
      <w:r>
        <w:rPr>
          <w:rFonts w:hint="eastAsia" w:ascii="宋体" w:hAnsi="宋体" w:eastAsia="宋体" w:cs="宋体"/>
          <w:color w:val="000000"/>
          <w:sz w:val="24"/>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500" w:lineRule="atLeast"/>
        <w:rPr>
          <w:rFonts w:ascii="宋体" w:hAnsi="宋体" w:eastAsia="宋体" w:cs="Times New Roman"/>
          <w:bCs/>
          <w:sz w:val="44"/>
          <w:szCs w:val="24"/>
        </w:rPr>
      </w:pPr>
      <w:r>
        <w:rPr>
          <w:rFonts w:ascii="宋体" w:hAnsi="宋体" w:eastAsia="宋体" w:cs="Times New Roman"/>
          <w:bCs/>
          <w:sz w:val="44"/>
          <w:szCs w:val="24"/>
        </w:rPr>
      </w:r>
      <w:r/>
    </w:p>
    <w:p>
      <w:pPr>
        <w:rPr>
          <w:rFonts w:ascii="宋体" w:hAnsi="宋体" w:eastAsia="宋体" w:cs="Times New Roman"/>
          <w:bCs/>
          <w:sz w:val="44"/>
          <w:szCs w:val="24"/>
        </w:rPr>
      </w:pPr>
      <w:r>
        <w:rPr>
          <w:rFonts w:ascii="宋体" w:hAnsi="宋体" w:eastAsia="宋体" w:cs="Times New Roman"/>
          <w:bCs/>
          <w:sz w:val="44"/>
          <w:szCs w:val="24"/>
        </w:rPr>
        <w:br w:type="page" w:clear="all"/>
      </w:r>
      <w:r/>
    </w:p>
    <w:p>
      <w:pPr>
        <w:ind w:firstLine="440"/>
        <w:jc w:val="center"/>
        <w:rPr>
          <w:rFonts w:ascii="宋体" w:hAnsi="宋体" w:eastAsia="宋体" w:cs="Times New Roman"/>
          <w:bCs/>
          <w:sz w:val="44"/>
          <w:szCs w:val="24"/>
        </w:rPr>
      </w:pPr>
      <w:r>
        <w:rPr>
          <w:rFonts w:ascii="宋体" w:hAnsi="宋体" w:eastAsia="宋体" w:cs="Times New Roman"/>
          <w:bCs/>
          <w:sz w:val="44"/>
          <w:szCs w:val="24"/>
        </w:rPr>
      </w:r>
      <w:r/>
    </w:p>
    <w:p>
      <w:pPr>
        <w:ind w:firstLine="440"/>
        <w:jc w:val="center"/>
        <w:rPr>
          <w:rFonts w:ascii="宋体" w:hAnsi="宋体" w:eastAsia="宋体" w:cs="Times New Roman"/>
          <w:bCs/>
          <w:sz w:val="44"/>
          <w:szCs w:val="24"/>
        </w:rPr>
      </w:pPr>
      <w:r>
        <w:rPr>
          <w:rFonts w:ascii="宋体" w:hAnsi="宋体" w:eastAsia="宋体" w:cs="Times New Roman"/>
          <w:bCs/>
          <w:sz w:val="44"/>
          <w:szCs w:val="24"/>
        </w:rPr>
        <w:t xml:space="preserve">第六章  响应文件格式</w:t>
      </w:r>
      <w:bookmarkEnd w:id="212"/>
      <w:r/>
      <w:r/>
    </w:p>
    <w:p>
      <w:pPr>
        <w:jc w:val="center"/>
        <w:rPr>
          <w:rFonts w:ascii="宋体" w:hAnsi="宋体" w:eastAsia="宋体" w:cs="Times New Roman"/>
          <w:b/>
          <w:sz w:val="72"/>
          <w:szCs w:val="24"/>
        </w:rPr>
      </w:pPr>
      <w:r/>
      <w:bookmarkStart w:id="213" w:name="_Hlt26955039"/>
      <w:r/>
      <w:bookmarkStart w:id="214" w:name="_Hlt26671244"/>
      <w:r/>
      <w:bookmarkEnd w:id="213"/>
      <w:r/>
      <w:bookmarkEnd w:id="214"/>
      <w:r/>
      <w:r/>
    </w:p>
    <w:p>
      <w:pPr>
        <w:jc w:val="center"/>
        <w:rPr>
          <w:rFonts w:ascii="宋体" w:hAnsi="宋体" w:eastAsia="宋体" w:cs="Times New Roman"/>
          <w:b/>
          <w:sz w:val="72"/>
          <w:szCs w:val="24"/>
        </w:rPr>
      </w:pPr>
      <w:r>
        <w:rPr>
          <w:rFonts w:ascii="宋体" w:hAnsi="宋体" w:eastAsia="宋体" w:cs="Times New Roman"/>
          <w:b/>
          <w:sz w:val="72"/>
          <w:szCs w:val="24"/>
        </w:rPr>
        <w:t xml:space="preserve">响  应  文  件</w:t>
      </w:r>
      <w:r/>
    </w:p>
    <w:p>
      <w:pPr>
        <w:jc w:val="center"/>
        <w:rPr>
          <w:rFonts w:ascii="宋体" w:hAnsi="宋体" w:eastAsia="宋体" w:cs="Times New Roman"/>
          <w:b/>
          <w:sz w:val="72"/>
          <w:szCs w:val="24"/>
        </w:rPr>
      </w:pPr>
      <w:r>
        <w:rPr>
          <w:rFonts w:ascii="宋体" w:hAnsi="宋体" w:eastAsia="宋体" w:cs="Times New Roman"/>
          <w:b/>
          <w:sz w:val="72"/>
          <w:szCs w:val="24"/>
        </w:rPr>
      </w:r>
      <w:r/>
    </w:p>
    <w:p>
      <w:pPr>
        <w:jc w:val="center"/>
        <w:rPr>
          <w:rFonts w:ascii="宋体" w:hAnsi="宋体" w:eastAsia="宋体" w:cs="Times New Roman"/>
          <w:b/>
          <w:sz w:val="72"/>
          <w:szCs w:val="24"/>
        </w:rPr>
      </w:pPr>
      <w:r>
        <w:rPr>
          <w:rFonts w:ascii="宋体" w:hAnsi="宋体" w:eastAsia="宋体" w:cs="Times New Roman"/>
          <w:b/>
          <w:sz w:val="72"/>
          <w:szCs w:val="24"/>
        </w:rPr>
      </w:r>
      <w:r/>
    </w:p>
    <w:p>
      <w:pPr>
        <w:jc w:val="center"/>
        <w:rPr>
          <w:rFonts w:ascii="宋体" w:hAnsi="宋体" w:eastAsia="宋体" w:cs="Times New Roman"/>
          <w:b/>
          <w:sz w:val="36"/>
          <w:szCs w:val="24"/>
        </w:rPr>
      </w:pPr>
      <w:r>
        <w:rPr>
          <w:rFonts w:ascii="宋体" w:hAnsi="宋体" w:eastAsia="宋体" w:cs="Times New Roman"/>
          <w:b/>
          <w:sz w:val="36"/>
          <w:szCs w:val="24"/>
        </w:rPr>
      </w:r>
      <w:r/>
    </w:p>
    <w:p>
      <w:pPr>
        <w:jc w:val="center"/>
        <w:rPr>
          <w:rFonts w:ascii="宋体" w:hAnsi="宋体" w:eastAsia="宋体" w:cs="Times New Roman"/>
          <w:b/>
          <w:sz w:val="36"/>
          <w:szCs w:val="24"/>
        </w:rPr>
      </w:pPr>
      <w:r>
        <w:rPr>
          <w:rFonts w:ascii="宋体" w:hAnsi="宋体" w:eastAsia="宋体" w:cs="Times New Roman"/>
          <w:b/>
          <w:sz w:val="36"/>
          <w:szCs w:val="24"/>
        </w:rPr>
      </w:r>
      <w:r/>
    </w:p>
    <w:p>
      <w:pPr>
        <w:jc w:val="center"/>
        <w:rPr>
          <w:rFonts w:ascii="宋体" w:hAnsi="宋体" w:eastAsia="宋体" w:cs="Times New Roman"/>
          <w:b/>
          <w:sz w:val="36"/>
          <w:szCs w:val="24"/>
        </w:rPr>
      </w:pPr>
      <w:r>
        <w:rPr>
          <w:rFonts w:ascii="宋体" w:hAnsi="宋体" w:eastAsia="宋体" w:cs="Times New Roman"/>
          <w:b/>
          <w:sz w:val="36"/>
          <w:szCs w:val="24"/>
        </w:rPr>
      </w:r>
      <w:r/>
    </w:p>
    <w:p>
      <w:pPr>
        <w:ind w:firstLine="1081"/>
        <w:rPr>
          <w:rFonts w:ascii="宋体" w:hAnsi="宋体" w:eastAsia="宋体" w:cs="Times New Roman"/>
          <w:b/>
          <w:sz w:val="36"/>
          <w:szCs w:val="24"/>
        </w:rPr>
      </w:pPr>
      <w:r>
        <w:rPr>
          <w:rFonts w:ascii="宋体" w:hAnsi="宋体" w:eastAsia="宋体" w:cs="Times New Roman"/>
          <w:b/>
          <w:sz w:val="36"/>
          <w:szCs w:val="24"/>
        </w:rPr>
        <w:t xml:space="preserve">项 目 名 称：</w:t>
      </w:r>
      <w:r/>
    </w:p>
    <w:p>
      <w:pPr>
        <w:ind w:firstLine="1081"/>
        <w:rPr>
          <w:rFonts w:ascii="宋体" w:hAnsi="宋体" w:eastAsia="宋体" w:cs="Times New Roman"/>
          <w:b/>
          <w:sz w:val="36"/>
          <w:szCs w:val="24"/>
          <w:u w:val="single"/>
        </w:rPr>
      </w:pPr>
      <w:r>
        <w:rPr>
          <w:rFonts w:ascii="宋体" w:hAnsi="宋体" w:eastAsia="宋体" w:cs="Times New Roman"/>
          <w:b/>
          <w:sz w:val="36"/>
          <w:szCs w:val="24"/>
        </w:rPr>
        <w:t xml:space="preserve">项 目 编 号：</w:t>
      </w:r>
      <w:r/>
    </w:p>
    <w:p>
      <w:pPr>
        <w:rPr>
          <w:rFonts w:ascii="宋体" w:hAnsi="宋体" w:eastAsia="宋体" w:cs="Times New Roman"/>
          <w:b/>
          <w:sz w:val="36"/>
          <w:szCs w:val="24"/>
          <w:u w:val="single"/>
        </w:rPr>
      </w:pPr>
      <w:r>
        <w:rPr>
          <w:rFonts w:ascii="宋体" w:hAnsi="宋体" w:eastAsia="宋体" w:cs="Times New Roman"/>
          <w:b/>
          <w:sz w:val="36"/>
          <w:szCs w:val="24"/>
        </w:rPr>
        <w:t xml:space="preserve">      供应商名称 ：</w:t>
      </w:r>
      <w:r>
        <w:rPr>
          <w:rFonts w:ascii="宋体" w:hAnsi="宋体" w:eastAsia="宋体" w:cs="Times New Roman"/>
          <w:b/>
          <w:sz w:val="36"/>
          <w:szCs w:val="24"/>
          <w:u w:val="single"/>
        </w:rPr>
        <w:t xml:space="preserve">（加盖CA电子公章）</w:t>
      </w:r>
      <w:r/>
    </w:p>
    <w:p>
      <w:pPr>
        <w:rPr>
          <w:rFonts w:ascii="宋体" w:hAnsi="宋体" w:eastAsia="宋体" w:cs="Times New Roman"/>
          <w:b/>
          <w:sz w:val="36"/>
          <w:szCs w:val="24"/>
          <w:u w:val="single"/>
        </w:rPr>
      </w:pPr>
      <w:r>
        <w:rPr>
          <w:rFonts w:ascii="宋体" w:hAnsi="宋体" w:eastAsia="宋体" w:cs="Times New Roman"/>
          <w:b/>
          <w:sz w:val="36"/>
          <w:szCs w:val="24"/>
        </w:rPr>
        <w:t xml:space="preserve">      日      期 ：</w:t>
      </w:r>
      <w:r/>
    </w:p>
    <w:p>
      <w:pPr>
        <w:jc w:val="center"/>
        <w:spacing w:line="440" w:lineRule="exact"/>
        <w:rPr>
          <w:rFonts w:ascii="宋体" w:hAnsi="宋体" w:eastAsia="宋体" w:cs="Times New Roman"/>
          <w:b/>
          <w:bCs/>
          <w:sz w:val="32"/>
          <w:szCs w:val="32"/>
        </w:rPr>
      </w:pPr>
      <w:r>
        <w:rPr>
          <w:rFonts w:ascii="宋体" w:hAnsi="宋体" w:eastAsia="宋体" w:cs="Times New Roman"/>
          <w:b/>
          <w:bCs/>
          <w:sz w:val="32"/>
          <w:szCs w:val="32"/>
        </w:rPr>
      </w:r>
      <w:r/>
    </w:p>
    <w:p>
      <w:pPr>
        <w:rPr>
          <w:rFonts w:ascii="宋体" w:hAnsi="宋体" w:eastAsia="宋体" w:cs="Times New Roman"/>
          <w:sz w:val="24"/>
          <w:szCs w:val="24"/>
        </w:rPr>
      </w:pPr>
      <w:r>
        <w:rPr>
          <w:rFonts w:ascii="宋体" w:hAnsi="宋体" w:eastAsia="宋体" w:cs="Times New Roman"/>
          <w:sz w:val="24"/>
          <w:szCs w:val="24"/>
        </w:rPr>
        <w:br w:type="page" w:clear="all"/>
      </w:r>
      <w:r/>
    </w:p>
    <w:p>
      <w:pPr>
        <w:jc w:val="center"/>
        <w:spacing w:line="440" w:lineRule="exact"/>
        <w:rPr>
          <w:rFonts w:ascii="宋体" w:hAnsi="宋体" w:eastAsia="宋体" w:cs="Times New Roman"/>
          <w:b/>
          <w:bCs/>
          <w:sz w:val="32"/>
          <w:szCs w:val="32"/>
        </w:rPr>
      </w:pPr>
      <w:r>
        <w:rPr>
          <w:rFonts w:ascii="宋体" w:hAnsi="宋体" w:eastAsia="宋体" w:cs="Times New Roman"/>
          <w:b/>
          <w:bCs/>
          <w:sz w:val="32"/>
          <w:szCs w:val="32"/>
        </w:rPr>
      </w:r>
      <w:r/>
    </w:p>
    <w:p>
      <w:pPr>
        <w:jc w:val="center"/>
        <w:spacing w:line="440" w:lineRule="exact"/>
        <w:rPr>
          <w:rFonts w:ascii="宋体" w:hAnsi="宋体" w:eastAsia="宋体" w:cs="Times New Roman"/>
          <w:b/>
          <w:bCs/>
          <w:sz w:val="32"/>
          <w:szCs w:val="32"/>
        </w:rPr>
      </w:pPr>
      <w:r>
        <w:rPr>
          <w:rFonts w:ascii="宋体" w:hAnsi="宋体" w:eastAsia="宋体" w:cs="Times New Roman"/>
          <w:b/>
          <w:bCs/>
          <w:sz w:val="32"/>
          <w:szCs w:val="32"/>
        </w:rPr>
        <w:t xml:space="preserve">响应文件目录</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一、资信证明文件要求</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二、响应函</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三、报价一览表</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四、明细报价表</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五、需求偏离表</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六、供应商情况表</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七、保密承诺书</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八、承诺书</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九、盐城市政府采购事前信用承诺书</w:t>
      </w:r>
      <w:r/>
    </w:p>
    <w:p>
      <w:pPr>
        <w:rPr>
          <w:rFonts w:ascii="宋体" w:hAnsi="宋体" w:eastAsia="宋体" w:cs="Times New Roman"/>
          <w:b/>
          <w:bCs/>
          <w:sz w:val="32"/>
          <w:szCs w:val="32"/>
        </w:rPr>
      </w:pPr>
      <w:r>
        <w:rPr>
          <w:rFonts w:ascii="宋体" w:hAnsi="宋体" w:eastAsia="宋体" w:cs="Times New Roman"/>
          <w:b/>
          <w:bCs/>
          <w:sz w:val="32"/>
          <w:szCs w:val="32"/>
        </w:rPr>
      </w:r>
      <w:r/>
    </w:p>
    <w:p>
      <w:pPr>
        <w:rPr>
          <w:rFonts w:ascii="宋体" w:hAnsi="宋体" w:eastAsia="宋体" w:cs="Times New Roman"/>
          <w:i/>
          <w:sz w:val="32"/>
          <w:szCs w:val="32"/>
          <w:u w:val="single"/>
        </w:rPr>
      </w:pPr>
      <w:r>
        <w:rPr>
          <w:rFonts w:ascii="宋体" w:hAnsi="宋体" w:eastAsia="宋体" w:cs="Times New Roman"/>
          <w:i/>
          <w:sz w:val="32"/>
          <w:szCs w:val="32"/>
          <w:u w:val="single"/>
        </w:rPr>
      </w:r>
      <w:r/>
    </w:p>
    <w:p>
      <w:pPr>
        <w:spacing w:line="460" w:lineRule="exact"/>
        <w:rPr>
          <w:rFonts w:ascii="宋体" w:hAnsi="宋体" w:eastAsia="宋体" w:cs="Times New Roman"/>
          <w:sz w:val="24"/>
          <w:szCs w:val="24"/>
        </w:rPr>
      </w:pPr>
      <w:r/>
      <w:bookmarkStart w:id="215" w:name="_Toc120614284"/>
      <w:r/>
      <w:r/>
    </w:p>
    <w:p>
      <w:pPr>
        <w:rPr>
          <w:rFonts w:ascii="宋体" w:hAnsi="宋体" w:eastAsia="宋体" w:cs="Times New Roman"/>
          <w:sz w:val="24"/>
          <w:szCs w:val="24"/>
        </w:rPr>
      </w:pPr>
      <w:r>
        <w:rPr>
          <w:rFonts w:ascii="宋体" w:hAnsi="宋体" w:eastAsia="宋体" w:cs="Times New Roman"/>
          <w:sz w:val="24"/>
          <w:szCs w:val="24"/>
        </w:rPr>
        <w:br w:type="page" w:clear="all"/>
      </w:r>
      <w:r/>
    </w:p>
    <w:p>
      <w:pPr>
        <w:jc w:val="center"/>
        <w:spacing w:before="50" w:after="50"/>
        <w:widowControl/>
        <w:rPr>
          <w:rFonts w:ascii="宋体" w:hAnsi="宋体" w:eastAsia="宋体" w:cs="宋体"/>
          <w:i/>
          <w:sz w:val="20"/>
          <w:szCs w:val="24"/>
          <w:u w:val="single"/>
        </w:rPr>
      </w:pPr>
      <w:r>
        <w:rPr>
          <w:rFonts w:hint="eastAsia" w:ascii="方正小标宋简体" w:hAnsi="方正小标宋简体" w:eastAsia="方正小标宋简体" w:cs="方正小标宋简体"/>
          <w:sz w:val="32"/>
          <w:szCs w:val="32"/>
        </w:rPr>
        <w:t xml:space="preserve">一、</w:t>
      </w:r>
      <w:r>
        <w:rPr>
          <w:rFonts w:hint="eastAsia" w:ascii="微软雅黑" w:hAnsi="微软雅黑" w:eastAsia="微软雅黑" w:cs="微软雅黑"/>
          <w:sz w:val="32"/>
          <w:szCs w:val="32"/>
        </w:rPr>
        <w:t xml:space="preserve">资</w:t>
      </w:r>
      <w:r>
        <w:rPr>
          <w:rFonts w:ascii="Malgun Gothic" w:hAnsi="Malgun Gothic" w:eastAsia="方正小标宋简体" w:cs="Malgun Gothic"/>
          <w:sz w:val="32"/>
          <w:szCs w:val="32"/>
        </w:rPr>
        <w:t xml:space="preserve">信</w:t>
      </w:r>
      <w:r>
        <w:rPr>
          <w:rFonts w:hint="eastAsia" w:ascii="微软雅黑" w:hAnsi="微软雅黑" w:eastAsia="微软雅黑" w:cs="微软雅黑"/>
          <w:sz w:val="32"/>
          <w:szCs w:val="32"/>
        </w:rPr>
        <w:t xml:space="preserve">证</w:t>
      </w:r>
      <w:r>
        <w:rPr>
          <w:rFonts w:ascii="Malgun Gothic" w:hAnsi="Malgun Gothic" w:eastAsia="方正小标宋简体" w:cs="Malgun Gothic"/>
          <w:sz w:val="32"/>
          <w:szCs w:val="32"/>
        </w:rPr>
        <w:t xml:space="preserve">明文件要求</w:t>
      </w:r>
      <w:r/>
    </w:p>
    <w:p>
      <w:pPr>
        <w:ind w:firstLine="480"/>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 1、实质性资格证明文件目录</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文件1  法人或者其他组织的营业执照等证明文件，自然人的身份证明；</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文件2  上一年度财务状况报表（至少提供资产负债表、利润表、现金流量表，成立不满一年不需提供）；</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文件3  依法缴纳税收和社会保障资金的相关材料；</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文件4  具备履行合同所必需的设备和专业技术能力证明材料；</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文件5  参加政府采购活动前 3 年内在经营活动中没有重大违法记录的书面声明；</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文件6  法人授权书；</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文件7  框架协议文件中规定要求提供的证明材料和投标人认为需要提供的其他材料。</w:t>
      </w:r>
      <w:r/>
    </w:p>
    <w:p>
      <w:pPr>
        <w:ind w:firstLine="480"/>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2、非实质性资信证明文件目录</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格式1 《中小企业申明函》</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格式2 《残疾人福利性单位声明函》</w:t>
      </w:r>
      <w:r/>
    </w:p>
    <w:p>
      <w:pPr>
        <w:ind w:firstLine="420"/>
        <w:spacing w:line="500" w:lineRule="exact"/>
        <w:rPr>
          <w:rFonts w:ascii="宋体" w:hAnsi="宋体" w:eastAsia="宋体" w:cs="宋体"/>
          <w:sz w:val="24"/>
          <w:szCs w:val="24"/>
        </w:rPr>
      </w:pPr>
      <w:r>
        <w:rPr>
          <w:rFonts w:ascii="宋体" w:hAnsi="宋体" w:eastAsia="宋体" w:cs="宋体"/>
          <w:sz w:val="24"/>
          <w:szCs w:val="24"/>
        </w:rPr>
      </w:r>
      <w:r/>
    </w:p>
    <w:p>
      <w:pPr>
        <w:rPr>
          <w:rFonts w:ascii="宋体" w:hAnsi="宋体" w:eastAsia="宋体" w:cs="Times New Roman"/>
          <w:szCs w:val="24"/>
        </w:rPr>
      </w:pPr>
      <w:r>
        <w:rPr>
          <w:rFonts w:ascii="宋体" w:hAnsi="宋体" w:eastAsia="宋体" w:cs="Times New Roman"/>
          <w:szCs w:val="24"/>
        </w:rPr>
        <w:br w:type="page" w:clear="all"/>
      </w:r>
      <w:r/>
    </w:p>
    <w:p>
      <w:pPr>
        <w:rPr>
          <w:rFonts w:ascii="宋体" w:hAnsi="宋体" w:eastAsia="宋体" w:cs="Times New Roman"/>
          <w:szCs w:val="24"/>
        </w:rPr>
      </w:pPr>
      <w:r>
        <w:rPr>
          <w:rFonts w:ascii="宋体" w:hAnsi="宋体" w:eastAsia="宋体" w:cs="Times New Roman"/>
          <w:szCs w:val="24"/>
        </w:rPr>
      </w:r>
      <w:r/>
    </w:p>
    <w:p>
      <w:pPr>
        <w:rPr>
          <w:rFonts w:ascii="宋体" w:hAnsi="宋体" w:eastAsia="宋体" w:cs="Times New Roman"/>
          <w:szCs w:val="24"/>
        </w:rPr>
      </w:pPr>
      <w:r>
        <w:rPr>
          <w:rFonts w:ascii="宋体" w:hAnsi="宋体" w:eastAsia="宋体" w:cs="Times New Roman"/>
          <w:szCs w:val="24"/>
        </w:rPr>
      </w:r>
      <w:r/>
    </w:p>
    <w:p>
      <w:pPr>
        <w:jc w:val="center"/>
        <w:spacing w:before="313" w:after="313"/>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具</w:t>
      </w:r>
      <w:r>
        <w:rPr>
          <w:rFonts w:hint="eastAsia" w:ascii="微软雅黑" w:hAnsi="微软雅黑" w:eastAsia="微软雅黑" w:cs="微软雅黑"/>
          <w:sz w:val="32"/>
          <w:szCs w:val="32"/>
        </w:rPr>
        <w:t xml:space="preserve">备</w:t>
      </w:r>
      <w:r>
        <w:rPr>
          <w:rFonts w:ascii="Malgun Gothic" w:hAnsi="Malgun Gothic" w:eastAsia="方正小标宋简体" w:cs="Malgun Gothic"/>
          <w:sz w:val="32"/>
          <w:szCs w:val="32"/>
        </w:rPr>
        <w:t xml:space="preserve">履行合同所必需的</w:t>
      </w:r>
      <w:r>
        <w:rPr>
          <w:rFonts w:hint="eastAsia" w:ascii="微软雅黑" w:hAnsi="微软雅黑" w:eastAsia="微软雅黑" w:cs="微软雅黑"/>
          <w:sz w:val="32"/>
          <w:szCs w:val="32"/>
        </w:rPr>
        <w:t xml:space="preserve">设备</w:t>
      </w:r>
      <w:r>
        <w:rPr>
          <w:rFonts w:ascii="Malgun Gothic" w:hAnsi="Malgun Gothic" w:eastAsia="方正小标宋简体" w:cs="Malgun Gothic"/>
          <w:sz w:val="32"/>
          <w:szCs w:val="32"/>
        </w:rPr>
        <w:t xml:space="preserve">和</w:t>
      </w:r>
      <w:r>
        <w:rPr>
          <w:rFonts w:hint="eastAsia" w:ascii="微软雅黑" w:hAnsi="微软雅黑" w:eastAsia="微软雅黑" w:cs="微软雅黑"/>
          <w:sz w:val="32"/>
          <w:szCs w:val="32"/>
        </w:rPr>
        <w:t xml:space="preserve">专业</w:t>
      </w:r>
      <w:r>
        <w:rPr>
          <w:rFonts w:ascii="Malgun Gothic" w:hAnsi="Malgun Gothic" w:eastAsia="方正小标宋简体" w:cs="Malgun Gothic"/>
          <w:sz w:val="32"/>
          <w:szCs w:val="32"/>
        </w:rPr>
        <w:t xml:space="preserve">技</w:t>
      </w:r>
      <w:r>
        <w:rPr>
          <w:rFonts w:hint="eastAsia" w:ascii="微软雅黑" w:hAnsi="微软雅黑" w:eastAsia="微软雅黑" w:cs="微软雅黑"/>
          <w:sz w:val="32"/>
          <w:szCs w:val="32"/>
        </w:rPr>
        <w:t xml:space="preserve">术</w:t>
      </w:r>
      <w:r>
        <w:rPr>
          <w:rFonts w:ascii="Malgun Gothic" w:hAnsi="Malgun Gothic" w:eastAsia="方正小标宋简体" w:cs="Malgun Gothic"/>
          <w:sz w:val="32"/>
          <w:szCs w:val="32"/>
        </w:rPr>
        <w:t xml:space="preserve">能力的</w:t>
      </w:r>
      <w:r>
        <w:rPr>
          <w:rFonts w:hint="eastAsia" w:ascii="微软雅黑" w:hAnsi="微软雅黑" w:eastAsia="微软雅黑" w:cs="微软雅黑"/>
          <w:sz w:val="32"/>
          <w:szCs w:val="32"/>
        </w:rPr>
        <w:t xml:space="preserve">书</w:t>
      </w:r>
      <w:r>
        <w:rPr>
          <w:rFonts w:ascii="Malgun Gothic" w:hAnsi="Malgun Gothic" w:eastAsia="方正小标宋简体" w:cs="Malgun Gothic"/>
          <w:sz w:val="32"/>
          <w:szCs w:val="32"/>
        </w:rPr>
        <w:t xml:space="preserve">面</w:t>
      </w:r>
      <w:r>
        <w:rPr>
          <w:rFonts w:hint="eastAsia" w:ascii="微软雅黑" w:hAnsi="微软雅黑" w:eastAsia="微软雅黑" w:cs="微软雅黑"/>
          <w:sz w:val="32"/>
          <w:szCs w:val="32"/>
        </w:rPr>
        <w:t xml:space="preserve">声</w:t>
      </w:r>
      <w:r>
        <w:rPr>
          <w:rFonts w:ascii="Malgun Gothic" w:hAnsi="Malgun Gothic" w:eastAsia="方正小标宋简体" w:cs="Malgun Gothic"/>
          <w:sz w:val="32"/>
          <w:szCs w:val="32"/>
        </w:rPr>
        <w:t xml:space="preserve">明</w:t>
      </w:r>
      <w:r/>
    </w:p>
    <w:p>
      <w:pPr>
        <w:ind w:firstLine="492"/>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92"/>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主要设备有：</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w:t>
      </w:r>
      <w:r/>
    </w:p>
    <w:p>
      <w:pPr>
        <w:ind w:firstLine="492"/>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主要专业技术能力有：</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w:t>
      </w:r>
      <w:r/>
    </w:p>
    <w:p>
      <w:pPr>
        <w:ind w:firstLine="492"/>
        <w:jc w:val="left"/>
        <w:spacing w:line="460" w:lineRule="exact"/>
        <w:widowControl/>
        <w:rPr>
          <w:rFonts w:ascii="宋体" w:hAnsi="宋体" w:eastAsia="宋体" w:cs="宋体"/>
          <w:bCs/>
          <w:sz w:val="24"/>
          <w:szCs w:val="21"/>
        </w:rPr>
      </w:pPr>
      <w:r>
        <w:rPr>
          <w:rFonts w:ascii="宋体" w:hAnsi="宋体" w:eastAsia="宋体" w:cs="宋体"/>
          <w:bCs/>
          <w:sz w:val="24"/>
          <w:szCs w:val="21"/>
        </w:rPr>
      </w:r>
      <w:r/>
    </w:p>
    <w:p>
      <w:pPr>
        <w:ind w:firstLine="492"/>
        <w:jc w:val="left"/>
        <w:spacing w:line="460" w:lineRule="exact"/>
        <w:widowControl/>
        <w:rPr>
          <w:rFonts w:ascii="宋体" w:hAnsi="宋体" w:eastAsia="宋体" w:cs="宋体"/>
          <w:bCs/>
          <w:sz w:val="24"/>
          <w:szCs w:val="21"/>
        </w:rPr>
      </w:pPr>
      <w:r>
        <w:rPr>
          <w:rFonts w:ascii="宋体" w:hAnsi="宋体" w:eastAsia="宋体" w:cs="宋体"/>
          <w:bCs/>
          <w:sz w:val="24"/>
          <w:szCs w:val="21"/>
        </w:rPr>
      </w:r>
      <w:r/>
    </w:p>
    <w:p>
      <w:pPr>
        <w:ind w:firstLine="492"/>
        <w:jc w:val="left"/>
        <w:spacing w:line="460" w:lineRule="exact"/>
        <w:widowControl/>
        <w:rPr>
          <w:rFonts w:ascii="宋体" w:hAnsi="宋体" w:eastAsia="宋体" w:cs="宋体"/>
          <w:bCs/>
          <w:sz w:val="24"/>
          <w:szCs w:val="21"/>
        </w:rPr>
      </w:pPr>
      <w:r>
        <w:rPr>
          <w:rFonts w:ascii="宋体" w:hAnsi="宋体" w:eastAsia="宋体" w:cs="宋体"/>
          <w:bCs/>
          <w:sz w:val="24"/>
          <w:szCs w:val="21"/>
        </w:rPr>
      </w:r>
      <w:r/>
    </w:p>
    <w:p>
      <w:pPr>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                                      供应商名称（公章）：</w:t>
      </w:r>
      <w:r/>
    </w:p>
    <w:p>
      <w:pPr>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                                      日期：______年</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月</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日</w:t>
      </w:r>
      <w:r/>
    </w:p>
    <w:p>
      <w:pPr>
        <w:jc w:val="left"/>
        <w:widowControl/>
        <w:rPr>
          <w:rFonts w:ascii="宋体" w:hAnsi="宋体" w:eastAsia="宋体" w:cs="宋体"/>
          <w:sz w:val="20"/>
          <w:szCs w:val="21"/>
        </w:rPr>
      </w:pPr>
      <w:r>
        <w:rPr>
          <w:rFonts w:ascii="宋体" w:hAnsi="宋体" w:eastAsia="宋体" w:cs="宋体"/>
          <w:sz w:val="20"/>
          <w:szCs w:val="21"/>
        </w:rPr>
      </w:r>
      <w:r/>
    </w:p>
    <w:p>
      <w:pPr>
        <w:ind w:firstLine="420"/>
        <w:jc w:val="left"/>
        <w:widowControl/>
        <w:rPr>
          <w:rFonts w:ascii="宋体" w:hAnsi="宋体" w:eastAsia="宋体" w:cs="宋体"/>
          <w:sz w:val="20"/>
          <w:szCs w:val="21"/>
        </w:rPr>
      </w:pPr>
      <w:r>
        <w:rPr>
          <w:rFonts w:ascii="宋体" w:hAnsi="宋体" w:eastAsia="宋体" w:cs="宋体"/>
          <w:sz w:val="20"/>
          <w:szCs w:val="21"/>
        </w:rPr>
      </w:r>
      <w:r/>
    </w:p>
    <w:p>
      <w:pPr>
        <w:jc w:val="left"/>
        <w:widowControl/>
        <w:rPr>
          <w:rFonts w:ascii="黑体" w:hAnsi="宋体" w:eastAsia="黑体" w:cs="Times New Roman"/>
          <w:bCs/>
          <w:sz w:val="24"/>
          <w:szCs w:val="24"/>
        </w:rPr>
        <w:outlineLvl w:val="0"/>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jc w:val="center"/>
        <w:keepLines/>
        <w:keepNext/>
        <w:spacing w:before="260" w:after="260" w:line="415" w:lineRule="auto"/>
        <w:widowControl/>
        <w:rPr>
          <w:rFonts w:ascii="宋体" w:hAnsi="宋体" w:eastAsia="宋体" w:cs="宋体"/>
          <w:b/>
          <w:bCs/>
          <w:sz w:val="24"/>
          <w:szCs w:val="24"/>
        </w:rPr>
        <w:outlineLvl w:val="2"/>
      </w:pPr>
      <w:r>
        <w:rPr>
          <w:rFonts w:hint="eastAsia" w:ascii="微软雅黑" w:hAnsi="微软雅黑" w:eastAsia="微软雅黑" w:cs="微软雅黑"/>
          <w:sz w:val="32"/>
          <w:szCs w:val="32"/>
        </w:rPr>
        <w:t xml:space="preserve">参</w:t>
      </w:r>
      <w:r>
        <w:rPr>
          <w:rFonts w:ascii="Malgun Gothic" w:hAnsi="Malgun Gothic" w:eastAsia="方正小标宋简体" w:cs="Malgun Gothic"/>
          <w:sz w:val="32"/>
          <w:szCs w:val="32"/>
        </w:rPr>
        <w:t xml:space="preserve">加政府采</w:t>
      </w:r>
      <w:r>
        <w:rPr>
          <w:rFonts w:hint="eastAsia" w:ascii="微软雅黑" w:hAnsi="微软雅黑" w:eastAsia="微软雅黑" w:cs="微软雅黑"/>
          <w:sz w:val="32"/>
          <w:szCs w:val="32"/>
        </w:rPr>
        <w:t xml:space="preserve">购</w:t>
      </w:r>
      <w:r>
        <w:rPr>
          <w:rFonts w:ascii="Malgun Gothic" w:hAnsi="Malgun Gothic" w:eastAsia="方正小标宋简体" w:cs="Malgun Gothic"/>
          <w:sz w:val="32"/>
          <w:szCs w:val="32"/>
        </w:rPr>
        <w:t xml:space="preserve">活</w:t>
      </w:r>
      <w:r>
        <w:rPr>
          <w:rFonts w:hint="eastAsia" w:ascii="微软雅黑" w:hAnsi="微软雅黑" w:eastAsia="微软雅黑" w:cs="微软雅黑"/>
          <w:sz w:val="32"/>
          <w:szCs w:val="32"/>
        </w:rPr>
        <w:t xml:space="preserve">动</w:t>
      </w:r>
      <w:r>
        <w:rPr>
          <w:rFonts w:ascii="Malgun Gothic" w:hAnsi="Malgun Gothic" w:eastAsia="方正小标宋简体" w:cs="Malgun Gothic"/>
          <w:sz w:val="32"/>
          <w:szCs w:val="32"/>
        </w:rPr>
        <w:t xml:space="preserve">前</w:t>
      </w:r>
      <w:r>
        <w:rPr>
          <w:rFonts w:hint="eastAsia" w:ascii="方正小标宋简体" w:hAnsi="方正小标宋简体" w:eastAsia="方正小标宋简体" w:cs="方正小标宋简体"/>
          <w:sz w:val="32"/>
          <w:szCs w:val="32"/>
        </w:rPr>
        <w:t xml:space="preserve"> 3 年</w:t>
      </w:r>
      <w:r>
        <w:rPr>
          <w:rFonts w:hint="eastAsia" w:ascii="微软雅黑" w:hAnsi="微软雅黑" w:eastAsia="微软雅黑" w:cs="微软雅黑"/>
          <w:sz w:val="32"/>
          <w:szCs w:val="32"/>
        </w:rPr>
        <w:t xml:space="preserve">内</w:t>
      </w:r>
      <w:r>
        <w:rPr>
          <w:rFonts w:ascii="Malgun Gothic" w:hAnsi="Malgun Gothic" w:eastAsia="方正小标宋简体" w:cs="Malgun Gothic"/>
          <w:sz w:val="32"/>
          <w:szCs w:val="32"/>
        </w:rPr>
        <w:t xml:space="preserve">在</w:t>
      </w:r>
      <w:r>
        <w:rPr>
          <w:rFonts w:hint="eastAsia" w:ascii="微软雅黑" w:hAnsi="微软雅黑" w:eastAsia="微软雅黑" w:cs="微软雅黑"/>
          <w:sz w:val="32"/>
          <w:szCs w:val="32"/>
        </w:rPr>
        <w:t xml:space="preserve">经营</w:t>
      </w:r>
      <w:r>
        <w:rPr>
          <w:rFonts w:ascii="Malgun Gothic" w:hAnsi="Malgun Gothic" w:eastAsia="方正小标宋简体" w:cs="Malgun Gothic"/>
          <w:sz w:val="32"/>
          <w:szCs w:val="32"/>
        </w:rPr>
        <w:t xml:space="preserve">活</w:t>
      </w:r>
      <w:r>
        <w:rPr>
          <w:rFonts w:hint="eastAsia" w:ascii="微软雅黑" w:hAnsi="微软雅黑" w:eastAsia="微软雅黑" w:cs="微软雅黑"/>
          <w:sz w:val="32"/>
          <w:szCs w:val="32"/>
        </w:rPr>
        <w:t xml:space="preserve">动</w:t>
      </w:r>
      <w:r>
        <w:rPr>
          <w:rFonts w:ascii="Malgun Gothic" w:hAnsi="Malgun Gothic" w:eastAsia="方正小标宋简体" w:cs="Malgun Gothic"/>
          <w:sz w:val="32"/>
          <w:szCs w:val="32"/>
        </w:rPr>
        <w:t xml:space="preserve">中</w:t>
      </w:r>
      <w:r>
        <w:rPr>
          <w:rFonts w:hint="eastAsia" w:ascii="微软雅黑" w:hAnsi="微软雅黑" w:eastAsia="微软雅黑" w:cs="微软雅黑"/>
          <w:sz w:val="32"/>
          <w:szCs w:val="32"/>
        </w:rPr>
        <w:t xml:space="preserve">没</w:t>
      </w:r>
      <w:r>
        <w:rPr>
          <w:rFonts w:ascii="Malgun Gothic" w:hAnsi="Malgun Gothic" w:eastAsia="方正小标宋简体" w:cs="Malgun Gothic"/>
          <w:sz w:val="32"/>
          <w:szCs w:val="32"/>
        </w:rPr>
        <w:t xml:space="preserve">有重大</w:t>
      </w:r>
      <w:r>
        <w:rPr>
          <w:rFonts w:hint="eastAsia" w:ascii="微软雅黑" w:hAnsi="微软雅黑" w:eastAsia="微软雅黑" w:cs="微软雅黑"/>
          <w:sz w:val="32"/>
          <w:szCs w:val="32"/>
        </w:rPr>
        <w:t xml:space="preserve">违</w:t>
      </w:r>
      <w:r>
        <w:rPr>
          <w:rFonts w:ascii="Malgun Gothic" w:hAnsi="Malgun Gothic" w:eastAsia="方正小标宋简体" w:cs="Malgun Gothic"/>
          <w:sz w:val="32"/>
          <w:szCs w:val="32"/>
        </w:rPr>
        <w:t xml:space="preserve">法</w:t>
      </w:r>
      <w:r>
        <w:rPr>
          <w:rFonts w:hint="eastAsia" w:ascii="微软雅黑" w:hAnsi="微软雅黑" w:eastAsia="微软雅黑" w:cs="微软雅黑"/>
          <w:sz w:val="32"/>
          <w:szCs w:val="32"/>
        </w:rPr>
        <w:t xml:space="preserve">记录</w:t>
      </w:r>
      <w:r>
        <w:rPr>
          <w:rFonts w:ascii="Malgun Gothic" w:hAnsi="Malgun Gothic" w:eastAsia="方正小标宋简体" w:cs="Malgun Gothic"/>
          <w:sz w:val="32"/>
          <w:szCs w:val="32"/>
        </w:rPr>
        <w:t xml:space="preserve">的</w:t>
      </w:r>
      <w:r>
        <w:rPr>
          <w:rFonts w:hint="eastAsia" w:ascii="微软雅黑" w:hAnsi="微软雅黑" w:eastAsia="微软雅黑" w:cs="微软雅黑"/>
          <w:sz w:val="32"/>
          <w:szCs w:val="32"/>
        </w:rPr>
        <w:t xml:space="preserve">书</w:t>
      </w:r>
      <w:r>
        <w:rPr>
          <w:rFonts w:ascii="Malgun Gothic" w:hAnsi="Malgun Gothic" w:eastAsia="方正小标宋简体" w:cs="Malgun Gothic"/>
          <w:sz w:val="32"/>
          <w:szCs w:val="32"/>
        </w:rPr>
        <w:t xml:space="preserve">面</w:t>
      </w:r>
      <w:r>
        <w:rPr>
          <w:rFonts w:hint="eastAsia" w:ascii="微软雅黑" w:hAnsi="微软雅黑" w:eastAsia="微软雅黑" w:cs="微软雅黑"/>
          <w:sz w:val="32"/>
          <w:szCs w:val="32"/>
        </w:rPr>
        <w:t xml:space="preserve">声</w:t>
      </w:r>
      <w:r>
        <w:rPr>
          <w:rFonts w:ascii="Malgun Gothic" w:hAnsi="Malgun Gothic" w:eastAsia="方正小标宋简体" w:cs="Malgun Gothic"/>
          <w:sz w:val="32"/>
          <w:szCs w:val="32"/>
        </w:rPr>
        <w:t xml:space="preserve">明</w:t>
      </w:r>
      <w:r/>
    </w:p>
    <w:p>
      <w:pPr>
        <w:jc w:val="left"/>
        <w:spacing w:line="460" w:lineRule="exact"/>
        <w:widowControl/>
        <w:rPr>
          <w:rFonts w:ascii="宋体" w:hAnsi="宋体" w:eastAsia="宋体" w:cs="宋体"/>
          <w:b/>
          <w:bCs/>
          <w:sz w:val="44"/>
          <w:szCs w:val="44"/>
        </w:rPr>
      </w:pPr>
      <w:r>
        <w:rPr>
          <w:rFonts w:hint="eastAsia" w:ascii="宋体" w:hAnsi="宋体" w:eastAsia="宋体" w:cs="宋体"/>
          <w:b/>
          <w:bCs/>
          <w:sz w:val="24"/>
          <w:szCs w:val="21"/>
        </w:rPr>
        <w:t xml:space="preserve">                       </w:t>
      </w:r>
      <w:r>
        <w:rPr>
          <w:rFonts w:hint="eastAsia" w:ascii="宋体" w:hAnsi="宋体" w:eastAsia="宋体" w:cs="宋体"/>
          <w:b/>
          <w:bCs/>
          <w:sz w:val="44"/>
          <w:szCs w:val="44"/>
        </w:rPr>
        <w:t xml:space="preserve">       声  明</w:t>
      </w:r>
      <w:r/>
    </w:p>
    <w:p>
      <w:pPr>
        <w:ind w:firstLine="480"/>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我公司郑重声明：参加本次政府采购活动前 3 年内，我公司在经营活动中没有因违法经营受到刑事处罚或者责令停产停业、吊销许可证或者执照、较大数额罚款等行政处罚。</w:t>
      </w:r>
      <w:r/>
    </w:p>
    <w:p>
      <w:pPr>
        <w:ind w:firstLine="420"/>
        <w:jc w:val="left"/>
        <w:spacing w:line="360" w:lineRule="auto"/>
        <w:widowControl/>
        <w:rPr>
          <w:rFonts w:ascii="宋体" w:hAnsi="宋体" w:eastAsia="宋体" w:cs="Times New Roman"/>
          <w:szCs w:val="20"/>
        </w:rPr>
      </w:pPr>
      <w:r>
        <w:rPr>
          <w:rFonts w:ascii="宋体" w:hAnsi="宋体" w:eastAsia="宋体" w:cs="Times New Roman"/>
          <w:szCs w:val="20"/>
        </w:rPr>
      </w:r>
      <w:r/>
    </w:p>
    <w:p>
      <w:pPr>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                                 供应商名称（公章）：</w:t>
      </w:r>
      <w:r/>
    </w:p>
    <w:p>
      <w:pPr>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                                 授权代表签字：_______________________</w:t>
      </w:r>
      <w:r/>
    </w:p>
    <w:p>
      <w:pPr>
        <w:jc w:val="left"/>
        <w:spacing w:line="460" w:lineRule="exact"/>
        <w:widowControl/>
        <w:rPr>
          <w:rFonts w:ascii="宋体" w:hAnsi="宋体" w:eastAsia="宋体" w:cs="宋体"/>
          <w:bCs/>
          <w:sz w:val="24"/>
          <w:szCs w:val="21"/>
        </w:rPr>
      </w:pPr>
      <w:r>
        <w:rPr>
          <w:rFonts w:hint="eastAsia" w:ascii="宋体" w:hAnsi="宋体" w:eastAsia="宋体" w:cs="宋体"/>
          <w:bCs/>
          <w:sz w:val="24"/>
          <w:szCs w:val="21"/>
        </w:rPr>
        <w:t xml:space="preserve">                                 日期：______年    月    日</w:t>
      </w:r>
      <w:r/>
    </w:p>
    <w:p>
      <w:pPr>
        <w:jc w:val="left"/>
        <w:spacing w:line="460" w:lineRule="exact"/>
        <w:widowControl/>
        <w:rPr>
          <w:rFonts w:ascii="宋体" w:hAnsi="宋体" w:eastAsia="宋体" w:cs="宋体"/>
          <w:bCs/>
          <w:sz w:val="24"/>
          <w:szCs w:val="21"/>
        </w:rPr>
      </w:pPr>
      <w:r>
        <w:rPr>
          <w:rFonts w:ascii="宋体" w:hAnsi="宋体" w:eastAsia="宋体" w:cs="宋体"/>
          <w:bCs/>
          <w:sz w:val="24"/>
          <w:szCs w:val="21"/>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ind w:firstLine="420"/>
        <w:jc w:val="left"/>
        <w:spacing w:line="360" w:lineRule="auto"/>
        <w:widowControl/>
        <w:rPr>
          <w:rFonts w:ascii="黑体" w:hAnsi="宋体" w:eastAsia="黑体" w:cs="Times New Roman"/>
          <w:bCs/>
          <w:sz w:val="24"/>
          <w:szCs w:val="24"/>
        </w:rPr>
      </w:pPr>
      <w:r>
        <w:rPr>
          <w:rFonts w:ascii="黑体" w:hAnsi="宋体" w:eastAsia="黑体" w:cs="Times New Roman"/>
          <w:bCs/>
          <w:sz w:val="24"/>
          <w:szCs w:val="24"/>
        </w:rPr>
      </w:r>
      <w:r/>
    </w:p>
    <w:p>
      <w:pPr>
        <w:jc w:val="center"/>
        <w:keepLines/>
        <w:keepNext/>
        <w:spacing w:before="260" w:after="260" w:line="415" w:lineRule="auto"/>
        <w:widowControl/>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w:t>
      </w:r>
      <w:r>
        <w:rPr>
          <w:rFonts w:hint="eastAsia" w:ascii="微软雅黑" w:hAnsi="微软雅黑" w:eastAsia="微软雅黑" w:cs="微软雅黑"/>
          <w:sz w:val="32"/>
          <w:szCs w:val="32"/>
        </w:rPr>
        <w:t xml:space="preserve">权书</w:t>
      </w:r>
      <w:r/>
    </w:p>
    <w:p>
      <w:pPr>
        <w:ind w:firstLine="480"/>
        <w:jc w:val="left"/>
        <w:spacing w:line="360" w:lineRule="auto"/>
        <w:widowControl/>
        <w:tabs>
          <w:tab w:val="left" w:pos="360" w:leader="none"/>
        </w:tabs>
        <w:rPr>
          <w:rFonts w:ascii="宋体" w:hAnsi="宋体" w:eastAsia="宋体" w:cs="宋体"/>
          <w:bCs/>
          <w:sz w:val="24"/>
          <w:szCs w:val="21"/>
        </w:rPr>
      </w:pPr>
      <w:r>
        <w:rPr>
          <w:rFonts w:hint="eastAsia" w:ascii="宋体" w:hAnsi="宋体" w:eastAsia="宋体" w:cs="宋体"/>
          <w:bCs/>
          <w:sz w:val="24"/>
          <w:szCs w:val="21"/>
        </w:rPr>
        <w:t xml:space="preserve">本授权书声明：____________（供应商名称）授权________________（被授权人的姓名）为我方就</w:t>
      </w:r>
      <w:r>
        <w:rPr>
          <w:rFonts w:ascii="宋体" w:hAnsi="宋体" w:eastAsia="宋体" w:cs="宋体"/>
          <w:sz w:val="24"/>
          <w:szCs w:val="24"/>
          <w:u w:val="single"/>
        </w:rPr>
        <w:t xml:space="preserve">          </w:t>
      </w:r>
      <w:r>
        <w:rPr>
          <w:rFonts w:hint="eastAsia" w:ascii="宋体" w:hAnsi="宋体" w:eastAsia="宋体" w:cs="宋体"/>
          <w:bCs/>
          <w:sz w:val="24"/>
          <w:szCs w:val="21"/>
        </w:rPr>
        <w:t xml:space="preserve">号</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项目框架协议采购活动的合法代理人，以本单位名义全权处理一切与该项目采购有关的事务。</w:t>
      </w:r>
      <w:r/>
    </w:p>
    <w:p>
      <w:pPr>
        <w:ind w:firstLine="480"/>
        <w:jc w:val="left"/>
        <w:spacing w:line="360" w:lineRule="auto"/>
        <w:widowControl/>
        <w:tabs>
          <w:tab w:val="left" w:pos="360" w:leader="none"/>
        </w:tabs>
        <w:rPr>
          <w:rFonts w:ascii="宋体" w:hAnsi="宋体" w:eastAsia="宋体" w:cs="宋体"/>
          <w:bCs/>
          <w:sz w:val="24"/>
          <w:szCs w:val="21"/>
        </w:rPr>
      </w:pPr>
      <w:r>
        <w:rPr>
          <w:rFonts w:hint="eastAsia" w:ascii="宋体" w:hAnsi="宋体" w:eastAsia="宋体" w:cs="宋体"/>
          <w:bCs/>
          <w:sz w:val="24"/>
          <w:szCs w:val="21"/>
        </w:rPr>
        <w:t xml:space="preserve">本授权书于______年____月____日起生效，特此声明。</w:t>
      </w:r>
      <w:r/>
    </w:p>
    <w:p>
      <w:pPr>
        <w:jc w:val="left"/>
        <w:spacing w:line="360" w:lineRule="auto"/>
        <w:widowControl/>
        <w:tabs>
          <w:tab w:val="left" w:pos="360" w:leader="none"/>
        </w:tabs>
        <w:rPr>
          <w:rFonts w:ascii="宋体" w:hAnsi="宋体" w:eastAsia="宋体" w:cs="宋体"/>
          <w:bCs/>
          <w:sz w:val="24"/>
          <w:szCs w:val="21"/>
        </w:rPr>
      </w:pPr>
      <w:r>
        <w:rPr>
          <w:rFonts w:hint="eastAsia" w:ascii="宋体" w:hAnsi="宋体" w:eastAsia="宋体" w:cs="宋体"/>
          <w:bCs/>
          <w:sz w:val="24"/>
          <w:szCs w:val="21"/>
        </w:rPr>
        <w:t xml:space="preserve">          </w:t>
      </w:r>
      <w:r/>
    </w:p>
    <w:p>
      <w:pPr>
        <w:ind w:firstLine="1200"/>
        <w:jc w:val="left"/>
        <w:spacing w:line="360" w:lineRule="auto"/>
        <w:widowControl/>
        <w:tabs>
          <w:tab w:val="left" w:pos="360" w:leader="none"/>
        </w:tabs>
        <w:rPr>
          <w:rFonts w:ascii="宋体" w:hAnsi="宋体" w:eastAsia="宋体" w:cs="宋体"/>
          <w:bCs/>
          <w:sz w:val="24"/>
          <w:szCs w:val="21"/>
        </w:rPr>
      </w:pPr>
      <w:r>
        <w:rPr>
          <w:rFonts w:hint="eastAsia" w:ascii="宋体" w:hAnsi="宋体" w:eastAsia="宋体" w:cs="宋体"/>
          <w:bCs/>
          <w:sz w:val="24"/>
          <w:szCs w:val="21"/>
        </w:rPr>
        <w:t xml:space="preserve">被授权人身份证号码：</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       </w:t>
      </w:r>
      <w:r/>
    </w:p>
    <w:p>
      <w:pPr>
        <w:jc w:val="left"/>
        <w:spacing w:line="360" w:lineRule="auto"/>
        <w:widowControl/>
        <w:tabs>
          <w:tab w:val="left" w:pos="360" w:leader="none"/>
        </w:tabs>
        <w:rPr>
          <w:rFonts w:ascii="宋体" w:hAnsi="宋体" w:eastAsia="宋体" w:cs="宋体"/>
          <w:bCs/>
          <w:sz w:val="24"/>
          <w:szCs w:val="21"/>
        </w:rPr>
      </w:pPr>
      <w:r>
        <w:rPr>
          <w:rFonts w:hint="eastAsia" w:ascii="宋体" w:hAnsi="宋体" w:eastAsia="宋体" w:cs="宋体"/>
          <w:bCs/>
          <w:sz w:val="24"/>
          <w:szCs w:val="21"/>
        </w:rPr>
        <w:t xml:space="preserve">          被授权人联系电话：（手机）</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     </w:t>
      </w:r>
      <w:r/>
    </w:p>
    <w:p>
      <w:pPr>
        <w:ind w:firstLine="1200"/>
        <w:jc w:val="left"/>
        <w:spacing w:line="360" w:lineRule="auto"/>
        <w:widowControl/>
        <w:tabs>
          <w:tab w:val="left" w:pos="360" w:leader="none"/>
        </w:tabs>
        <w:rPr>
          <w:rFonts w:ascii="宋体" w:hAnsi="宋体" w:eastAsia="宋体" w:cs="宋体"/>
          <w:bCs/>
          <w:sz w:val="24"/>
          <w:szCs w:val="21"/>
          <w:u w:val="single"/>
        </w:rPr>
      </w:pPr>
      <w:r>
        <w:rPr>
          <w:rFonts w:hint="eastAsia" w:ascii="宋体" w:hAnsi="宋体" w:eastAsia="宋体" w:cs="宋体"/>
          <w:bCs/>
          <w:sz w:val="24"/>
          <w:szCs w:val="21"/>
        </w:rPr>
        <w:t xml:space="preserve">授权单位名称：（加盖CA电子公章）</w:t>
      </w:r>
      <w:r>
        <w:rPr>
          <w:rFonts w:hint="eastAsia" w:ascii="宋体" w:hAnsi="宋体" w:eastAsia="宋体" w:cs="宋体"/>
          <w:bCs/>
          <w:sz w:val="24"/>
          <w:szCs w:val="21"/>
          <w:u w:val="single"/>
        </w:rPr>
        <w:t xml:space="preserve">          </w:t>
      </w:r>
      <w:r/>
    </w:p>
    <w:p>
      <w:pPr>
        <w:ind w:firstLine="480"/>
        <w:jc w:val="left"/>
        <w:spacing w:line="360" w:lineRule="auto"/>
        <w:widowControl/>
        <w:tabs>
          <w:tab w:val="left" w:pos="360" w:leader="none"/>
        </w:tabs>
        <w:rPr>
          <w:rFonts w:ascii="宋体" w:hAnsi="宋体" w:eastAsia="宋体" w:cs="宋体"/>
          <w:bCs/>
          <w:sz w:val="24"/>
          <w:szCs w:val="21"/>
        </w:rPr>
      </w:pPr>
      <w:r>
        <w:rPr>
          <w:rFonts w:hint="eastAsia" w:ascii="宋体" w:hAnsi="宋体" w:eastAsia="宋体" w:cs="宋体"/>
          <w:bCs/>
          <w:sz w:val="24"/>
          <w:szCs w:val="21"/>
        </w:rPr>
        <w:t xml:space="preserve">      单位地址：</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                                            </w:t>
      </w:r>
      <w:r/>
    </w:p>
    <w:p>
      <w:pPr>
        <w:ind w:firstLine="480"/>
        <w:jc w:val="left"/>
        <w:spacing w:line="360" w:lineRule="auto"/>
        <w:widowControl/>
        <w:tabs>
          <w:tab w:val="left" w:pos="360" w:leader="none"/>
        </w:tabs>
        <w:rPr>
          <w:rFonts w:ascii="Times New Roman" w:hAnsi="Times New Roman" w:eastAsia="宋体" w:cs="Times New Roman"/>
          <w:sz w:val="24"/>
          <w:szCs w:val="24"/>
          <w:u w:val="single"/>
        </w:rPr>
      </w:pPr>
      <w:r>
        <w:rPr>
          <w:rFonts w:hint="eastAsia" w:ascii="宋体" w:hAnsi="宋体" w:eastAsia="宋体" w:cs="宋体"/>
          <w:bCs/>
          <w:sz w:val="24"/>
          <w:szCs w:val="21"/>
        </w:rPr>
        <w:t xml:space="preserve">      日    期：  </w:t>
      </w:r>
      <w:r>
        <w:rPr>
          <w:rFonts w:ascii="Times New Roman" w:hAnsi="Times New Roman" w:eastAsia="宋体" w:cs="Times New Roman"/>
          <w:sz w:val="24"/>
          <w:szCs w:val="24"/>
          <w:u w:val="single"/>
        </w:rPr>
        <w:t xml:space="preserve">                                 </w:t>
      </w:r>
      <w:r/>
    </w:p>
    <w:p>
      <w:pPr>
        <w:ind w:firstLine="480"/>
        <w:tabs>
          <w:tab w:val="left" w:pos="360" w:leader="none"/>
        </w:tabs>
        <w:rPr>
          <w:rFonts w:ascii="宋体" w:hAnsi="宋体" w:eastAsia="宋体" w:cs="Times New Roman"/>
          <w:sz w:val="24"/>
          <w:szCs w:val="24"/>
        </w:rPr>
      </w:pPr>
      <w:r>
        <w:rPr>
          <w:rFonts w:ascii="宋体" w:hAnsi="宋体" w:eastAsia="宋体" w:cs="Times New Roman"/>
          <w:sz w:val="24"/>
          <w:szCs w:val="24"/>
        </w:rPr>
      </w:r>
      <w:r/>
    </w:p>
    <w:p>
      <w:pPr>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ind w:firstLine="1800"/>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1"/>
        </w:rPr>
        <w:t xml:space="preserve">身份证复印件粘贴处（正反面且须与原件一致）：</w:t>
      </w:r>
      <w:r/>
    </w:p>
    <w:p>
      <w:pPr>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ind w:firstLine="645"/>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ind w:firstLine="645"/>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rPr>
          <w:szCs w:val="21"/>
        </w:rPr>
      </w:pPr>
      <w:r>
        <w:rPr>
          <w:rFonts w:hint="eastAsia"/>
          <w:szCs w:val="21"/>
        </w:rPr>
        <w:br w:type="page" w:clear="all"/>
      </w:r>
      <w:r/>
    </w:p>
    <w:p>
      <w:pPr>
        <w:numPr>
          <w:ilvl w:val="0"/>
          <w:numId w:val="7"/>
        </w:numPr>
        <w:jc w:val="center"/>
        <w:rPr>
          <w:rFonts w:ascii="宋体" w:hAnsi="宋体" w:eastAsia="宋体" w:cs="方正小标宋简体"/>
          <w:sz w:val="32"/>
          <w:szCs w:val="32"/>
        </w:rPr>
      </w:pPr>
      <w:r>
        <w:rPr>
          <w:rFonts w:hint="eastAsia" w:ascii="宋体" w:hAnsi="宋体" w:eastAsia="宋体" w:cs="方正小标宋简体"/>
          <w:sz w:val="32"/>
          <w:szCs w:val="32"/>
        </w:rPr>
        <w:t xml:space="preserve">响应函</w:t>
      </w:r>
      <w:r/>
    </w:p>
    <w:p>
      <w:pPr>
        <w:pStyle w:val="753"/>
        <w:ind w:firstLine="0"/>
      </w:pPr>
      <w:r/>
      <w:r/>
    </w:p>
    <w:p>
      <w:pPr>
        <w:spacing w:line="360" w:lineRule="auto"/>
        <w:rPr>
          <w:rFonts w:ascii="宋体" w:hAnsi="宋体" w:eastAsia="宋体" w:cs="Times New Roman"/>
          <w:sz w:val="24"/>
          <w:szCs w:val="24"/>
        </w:rPr>
      </w:pPr>
      <w:r>
        <w:rPr>
          <w:rFonts w:ascii="宋体" w:hAnsi="宋体" w:eastAsia="宋体" w:cs="Times New Roman"/>
          <w:sz w:val="24"/>
          <w:szCs w:val="24"/>
        </w:rPr>
        <w:t xml:space="preserve">致：</w:t>
      </w:r>
      <w:r>
        <w:rPr>
          <w:rFonts w:hint="eastAsia" w:ascii="宋体" w:hAnsi="宋体" w:eastAsia="宋体" w:cs="Times New Roman"/>
          <w:sz w:val="24"/>
          <w:szCs w:val="24"/>
        </w:rPr>
        <w:t xml:space="preserve">盐城市机关事务管理局</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根据贵方的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号</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框架协议采购征集文件，正式授权下述签字人_________________</w:t>
      </w:r>
      <w:r>
        <w:rPr>
          <w:rFonts w:hint="eastAsia" w:ascii="宋体" w:hAnsi="宋体" w:eastAsia="宋体" w:cs="Times New Roman"/>
          <w:sz w:val="24"/>
          <w:szCs w:val="24"/>
        </w:rPr>
        <w:t xml:space="preserve">（</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代表我方______________（供应商的名称），全权处理本次项目的有关事宜。</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据此函，__________签字人兹宣布同意如下：</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1.按征集文件规定的各项要求，向采购人提供所需货物与服务。</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2.我们完全理解采购人不一定将采购合同授予协议价格最低的供应商。</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3.我们已详细审核全部征集文件及其有效补充文件，我们知道必须放弃提出含糊不清或误解问题的权利。</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4.我们同意从规定的响应文件开启日期起遵循本响应文件，并在规定的响应文件有效期期满之前均具有约束。</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5.同意向贵方提供贵方可能另外要求的与本次采购活动有关的任何证据或资料，并保证我方已提供和将要提供的文件是真实的、准确的。</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6.一旦我方成为入围供应商</w:t>
      </w:r>
      <w:r>
        <w:rPr>
          <w:rFonts w:hint="eastAsia" w:ascii="宋体" w:hAnsi="宋体" w:eastAsia="宋体" w:cs="Times New Roman"/>
          <w:sz w:val="24"/>
          <w:szCs w:val="24"/>
        </w:rPr>
        <w:t xml:space="preserve">，</w:t>
      </w:r>
      <w:r>
        <w:rPr>
          <w:rFonts w:ascii="宋体" w:hAnsi="宋体" w:eastAsia="宋体" w:cs="Times New Roman"/>
          <w:sz w:val="24"/>
          <w:szCs w:val="24"/>
        </w:rPr>
        <w:t xml:space="preserve">我方将根据征集文件的规定，严格履行合同的责任和义务</w:t>
      </w:r>
      <w:r>
        <w:rPr>
          <w:rFonts w:hint="eastAsia" w:ascii="宋体" w:hAnsi="宋体" w:eastAsia="宋体" w:cs="Times New Roman"/>
          <w:sz w:val="24"/>
          <w:szCs w:val="24"/>
        </w:rPr>
        <w:t xml:space="preserve">，</w:t>
      </w:r>
      <w:r>
        <w:rPr>
          <w:rFonts w:ascii="宋体" w:hAnsi="宋体" w:eastAsia="宋体" w:cs="Times New Roman"/>
          <w:sz w:val="24"/>
          <w:szCs w:val="24"/>
        </w:rPr>
        <w:t xml:space="preserve">并保证在征集文件规定的时间完成项目，交付采购人验收、使用。</w:t>
      </w:r>
      <w:r/>
    </w:p>
    <w:p>
      <w:pPr>
        <w:ind w:left="425"/>
        <w:spacing w:line="360" w:lineRule="auto"/>
        <w:rPr>
          <w:rFonts w:ascii="宋体" w:hAnsi="宋体" w:eastAsia="宋体" w:cs="Times New Roman"/>
          <w:sz w:val="24"/>
          <w:szCs w:val="24"/>
        </w:rPr>
      </w:pPr>
      <w:r>
        <w:rPr>
          <w:rFonts w:ascii="宋体" w:hAnsi="宋体" w:eastAsia="宋体" w:cs="Times New Roman"/>
          <w:sz w:val="24"/>
          <w:szCs w:val="24"/>
        </w:rPr>
        <w:t xml:space="preserve">7.与本次采购活动有关的正式通讯地址为：</w:t>
      </w:r>
      <w:r/>
    </w:p>
    <w:p>
      <w:pPr>
        <w:ind w:left="420" w:firstLine="480"/>
        <w:spacing w:line="360" w:lineRule="auto"/>
        <w:rPr>
          <w:rFonts w:ascii="宋体" w:hAnsi="宋体" w:eastAsia="宋体" w:cs="Times New Roman"/>
          <w:sz w:val="24"/>
          <w:szCs w:val="24"/>
          <w:u w:val="single"/>
        </w:rPr>
      </w:pPr>
      <w:r>
        <w:rPr>
          <w:rFonts w:ascii="宋体" w:hAnsi="宋体" w:eastAsia="宋体" w:cs="Times New Roman"/>
          <w:sz w:val="24"/>
          <w:szCs w:val="24"/>
        </w:rPr>
        <w:t xml:space="preserve">地          址：</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u w:val="single"/>
        </w:rPr>
      </w:pPr>
      <w:r>
        <w:rPr>
          <w:rFonts w:ascii="宋体" w:hAnsi="宋体" w:eastAsia="宋体" w:cs="Times New Roman"/>
          <w:sz w:val="24"/>
          <w:szCs w:val="24"/>
        </w:rPr>
        <w:t xml:space="preserve">邮          编：</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u w:val="single"/>
        </w:rPr>
      </w:pPr>
      <w:r>
        <w:rPr>
          <w:rFonts w:ascii="宋体" w:hAnsi="宋体" w:eastAsia="宋体" w:cs="Times New Roman"/>
          <w:sz w:val="24"/>
          <w:szCs w:val="24"/>
        </w:rPr>
        <w:t xml:space="preserve">固定电话（必填）：</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u w:val="single"/>
        </w:rPr>
      </w:pPr>
      <w:r>
        <w:rPr>
          <w:rFonts w:ascii="宋体" w:hAnsi="宋体" w:eastAsia="宋体" w:cs="Times New Roman"/>
          <w:sz w:val="24"/>
          <w:szCs w:val="24"/>
        </w:rPr>
        <w:t xml:space="preserve">传          真：</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u w:val="single"/>
        </w:rPr>
      </w:pPr>
      <w:r>
        <w:rPr>
          <w:rFonts w:ascii="宋体" w:hAnsi="宋体" w:eastAsia="宋体" w:cs="Times New Roman"/>
          <w:sz w:val="24"/>
          <w:szCs w:val="24"/>
        </w:rPr>
        <w:t xml:space="preserve">供应商开户行：</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u w:val="single"/>
        </w:rPr>
      </w:pPr>
      <w:r>
        <w:rPr>
          <w:rFonts w:ascii="宋体" w:hAnsi="宋体" w:eastAsia="宋体" w:cs="Times New Roman"/>
          <w:sz w:val="24"/>
          <w:szCs w:val="24"/>
        </w:rPr>
        <w:t xml:space="preserve">账          户：</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u w:val="single"/>
        </w:rPr>
      </w:pPr>
      <w:r>
        <w:rPr>
          <w:rFonts w:hint="eastAsia" w:ascii="宋体" w:hAnsi="宋体" w:eastAsia="宋体" w:cs="Times New Roman"/>
          <w:sz w:val="24"/>
          <w:szCs w:val="24"/>
        </w:rPr>
        <w:t xml:space="preserve">供应商全称（加盖CA电子公章）：</w:t>
      </w:r>
      <w:r>
        <w:rPr>
          <w:rFonts w:hint="eastAsia" w:ascii="宋体" w:hAnsi="宋体" w:eastAsia="宋体" w:cs="Times New Roman"/>
          <w:sz w:val="24"/>
          <w:szCs w:val="24"/>
          <w:u w:val="single"/>
        </w:rPr>
        <w:t xml:space="preserve">               </w:t>
      </w:r>
      <w:r/>
    </w:p>
    <w:p>
      <w:pPr>
        <w:ind w:left="420"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日           期：________年____月____日</w:t>
      </w:r>
      <w:r/>
    </w:p>
    <w:p>
      <w:pPr>
        <w:ind w:firstLine="24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rPr>
          <w:rFonts w:ascii="宋体" w:hAnsi="宋体" w:eastAsia="宋体" w:cs="Times New Roman"/>
          <w:b/>
          <w:sz w:val="32"/>
          <w:szCs w:val="32"/>
        </w:rPr>
      </w:pPr>
      <w:r>
        <w:rPr>
          <w:rFonts w:hint="eastAsia" w:ascii="宋体" w:hAnsi="宋体" w:eastAsia="宋体" w:cs="Times New Roman"/>
          <w:b/>
          <w:sz w:val="32"/>
          <w:szCs w:val="32"/>
        </w:rPr>
        <w:br w:type="page" w:clear="all"/>
      </w:r>
      <w:r/>
    </w:p>
    <w:p>
      <w:pPr>
        <w:ind w:firstLine="2249"/>
        <w:rPr>
          <w:rFonts w:ascii="宋体" w:hAnsi="宋体" w:eastAsia="宋体" w:cs="Times New Roman"/>
          <w:b/>
          <w:bCs/>
          <w:sz w:val="32"/>
          <w:szCs w:val="32"/>
        </w:rPr>
      </w:pPr>
      <w:r>
        <w:rPr>
          <w:rFonts w:ascii="宋体" w:hAnsi="宋体" w:eastAsia="宋体" w:cs="Times New Roman"/>
          <w:b/>
          <w:bCs/>
          <w:sz w:val="32"/>
          <w:szCs w:val="32"/>
        </w:rPr>
      </w:r>
      <w:r/>
    </w:p>
    <w:p>
      <w:pPr>
        <w:pStyle w:val="749"/>
        <w:jc w:val="center"/>
        <w:rPr>
          <w:sz w:val="36"/>
          <w:szCs w:val="36"/>
        </w:rPr>
      </w:pPr>
      <w:r>
        <w:rPr>
          <w:rFonts w:hint="eastAsia" w:ascii="宋体" w:hAnsi="宋体" w:eastAsia="宋体" w:cs="Times New Roman"/>
          <w:b w:val="0"/>
        </w:rPr>
        <w:t xml:space="preserve">三、</w:t>
      </w:r>
      <w:r>
        <w:t xml:space="preserve">开标一览表</w:t>
      </w:r>
      <w:r/>
    </w:p>
    <w:p>
      <w:pPr>
        <w:pStyle w:val="781"/>
      </w:pPr>
      <w:r>
        <w:rPr>
          <w:rStyle w:val="974"/>
        </w:rPr>
        <w:t xml:space="preserve">供应商全称（加盖CA电子签章）：</w:t>
      </w:r>
      <w:r>
        <w:rPr>
          <w:rStyle w:val="975"/>
          <w:b/>
          <w:bCs/>
        </w:rPr>
        <w:t xml:space="preserve">供应商名称</w:t>
      </w:r>
      <w:r>
        <w:rPr>
          <w:rStyle w:val="974"/>
        </w:rPr>
        <w:t xml:space="preserve"> </w:t>
      </w:r>
      <w:r/>
    </w:p>
    <w:p>
      <w:pPr>
        <w:pStyle w:val="781"/>
      </w:pPr>
      <w:r>
        <w:rPr>
          <w:rStyle w:val="974"/>
        </w:rPr>
        <w:t xml:space="preserve">项目名称：</w:t>
      </w:r>
      <w:r>
        <w:rPr>
          <w:rStyle w:val="975"/>
          <w:rFonts w:hint="eastAsia"/>
          <w:b/>
          <w:bCs/>
        </w:rPr>
        <w:t xml:space="preserve">2026-2027年度盐城市本级公务用车出租客运服务框架协议采购项目</w:t>
      </w:r>
      <w:r>
        <w:rPr>
          <w:rStyle w:val="974"/>
        </w:rPr>
        <w:t xml:space="preserve"> </w:t>
      </w:r>
      <w:r/>
    </w:p>
    <w:p>
      <w:pPr>
        <w:pStyle w:val="781"/>
      </w:pPr>
      <w:r>
        <w:rPr>
          <w:rStyle w:val="974"/>
        </w:rPr>
        <w:t xml:space="preserve">项目编号： </w:t>
      </w:r>
      <w:r>
        <w:rPr>
          <w:rStyle w:val="974"/>
        </w:rPr>
        <w:t xml:space="preserve">JSZC-320900-JSGX-K2025-0046</w:t>
      </w:r>
      <w:r>
        <w:rPr>
          <w:rStyle w:val="974"/>
        </w:rPr>
        <w:t xml:space="preserve">           </w:t>
      </w:r>
      <w:r>
        <w:rPr>
          <w:rStyle w:val="975"/>
          <w:b/>
          <w:bCs/>
        </w:rPr>
        <w:t xml:space="preserve">分包号</w:t>
      </w:r>
      <w:r>
        <w:t xml:space="preserve">： </w:t>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1060"/>
        <w:gridCol w:w="1441"/>
        <w:gridCol w:w="1830"/>
        <w:gridCol w:w="1829"/>
        <w:gridCol w:w="2409"/>
        <w:gridCol w:w="1059"/>
      </w:tblGrid>
      <w:tr>
        <w:trPr>
          <w:tblCellSpacing w:w="0" w:type="dxa"/>
        </w:trPr>
        <w:tc>
          <w:tcPr>
            <w:tcW w:w="550" w:type="pct"/>
            <w:vAlign w:val="center"/>
            <w:textDirection w:val="lrTb"/>
            <w:noWrap w:val="false"/>
          </w:tcPr>
          <w:p>
            <w:pPr>
              <w:jc w:val="center"/>
            </w:pPr>
            <w:r>
              <w:t xml:space="preserve">序号</w:t>
            </w:r>
            <w:r/>
          </w:p>
        </w:tc>
        <w:tc>
          <w:tcPr>
            <w:tcW w:w="748" w:type="pct"/>
            <w:vAlign w:val="center"/>
            <w:textDirection w:val="lrTb"/>
            <w:noWrap w:val="false"/>
          </w:tcPr>
          <w:p>
            <w:pPr>
              <w:jc w:val="center"/>
            </w:pPr>
            <w:r>
              <w:t xml:space="preserve">报价项</w:t>
            </w:r>
            <w:r/>
          </w:p>
        </w:tc>
        <w:tc>
          <w:tcPr>
            <w:tcW w:w="950" w:type="pct"/>
            <w:vAlign w:val="center"/>
            <w:textDirection w:val="lrTb"/>
            <w:noWrap w:val="false"/>
          </w:tcPr>
          <w:p>
            <w:pPr>
              <w:jc w:val="center"/>
            </w:pPr>
            <w:r>
              <w:t xml:space="preserve">报价要求</w:t>
            </w:r>
            <w:r/>
          </w:p>
        </w:tc>
        <w:tc>
          <w:tcPr>
            <w:tcW w:w="950" w:type="pct"/>
            <w:vAlign w:val="center"/>
            <w:textDirection w:val="lrTb"/>
            <w:noWrap w:val="false"/>
          </w:tcPr>
          <w:p>
            <w:pPr>
              <w:jc w:val="center"/>
            </w:pPr>
            <w:r>
              <w:t xml:space="preserve">报价单位</w:t>
            </w:r>
            <w:r/>
          </w:p>
        </w:tc>
        <w:tc>
          <w:tcPr>
            <w:tcW w:w="1250" w:type="pct"/>
            <w:vAlign w:val="center"/>
            <w:textDirection w:val="lrTb"/>
            <w:noWrap w:val="false"/>
          </w:tcPr>
          <w:p>
            <w:pPr>
              <w:jc w:val="center"/>
            </w:pPr>
            <w:r>
              <w:t xml:space="preserve">报价占比</w:t>
            </w:r>
            <w:r>
              <w:t xml:space="preserve">(%)</w:t>
            </w:r>
            <w:r/>
          </w:p>
        </w:tc>
        <w:tc>
          <w:tcPr>
            <w:tcW w:w="550" w:type="pct"/>
            <w:vAlign w:val="center"/>
            <w:textDirection w:val="lrTb"/>
            <w:noWrap w:val="false"/>
          </w:tcPr>
          <w:p>
            <w:pPr>
              <w:jc w:val="center"/>
            </w:pPr>
            <w:r>
              <w:t xml:space="preserve">报价</w:t>
            </w:r>
            <w:r/>
          </w:p>
        </w:tc>
      </w:tr>
      <w:tr>
        <w:trPr>
          <w:tblCellSpacing w:w="0" w:type="dxa"/>
        </w:trPr>
        <w:tc>
          <w:tcPr>
            <w:tcW w:w="550" w:type="pct"/>
            <w:vAlign w:val="center"/>
            <w:textDirection w:val="lrTb"/>
            <w:noWrap w:val="false"/>
          </w:tcPr>
          <w:p>
            <w:pPr>
              <w:jc w:val="center"/>
            </w:pPr>
            <w:r>
              <w:rPr>
                <w:rFonts w:hint="eastAsia"/>
              </w:rPr>
              <w:t xml:space="preserve">1</w:t>
            </w:r>
            <w:r/>
          </w:p>
        </w:tc>
        <w:tc>
          <w:tcPr>
            <w:tcW w:w="748" w:type="pct"/>
            <w:vAlign w:val="center"/>
            <w:textDirection w:val="lrTb"/>
            <w:noWrap w:val="false"/>
          </w:tcPr>
          <w:p>
            <w:pPr>
              <w:jc w:val="center"/>
            </w:pPr>
            <w:r>
              <w:t xml:space="preserve">下浮率</w:t>
            </w:r>
            <w:r/>
          </w:p>
        </w:tc>
        <w:tc>
          <w:tcPr>
            <w:tcW w:w="950" w:type="pct"/>
            <w:vAlign w:val="center"/>
            <w:textDirection w:val="lrTb"/>
            <w:noWrap w:val="false"/>
          </w:tcPr>
          <w:p>
            <w:pPr>
              <w:jc w:val="center"/>
            </w:pPr>
            <w:r>
              <w:rPr>
                <w:rFonts w:hint="eastAsia"/>
              </w:rPr>
              <w:t xml:space="preserve">本项目在各采购包相关车型客运租赁服务最高限制单价的基础上按照下浮率进行报价，报价要求大于等于</w:t>
            </w:r>
            <w:r>
              <w:rPr>
                <w:rFonts w:hint="eastAsia"/>
              </w:rPr>
              <w:t xml:space="preserve">0%</w:t>
            </w:r>
            <w:r>
              <w:rPr>
                <w:rFonts w:hint="eastAsia"/>
              </w:rPr>
              <w:t xml:space="preserve">，小于</w:t>
            </w:r>
            <w:r>
              <w:rPr>
                <w:rFonts w:hint="eastAsia"/>
              </w:rPr>
              <w:t xml:space="preserve">100%</w:t>
            </w:r>
            <w:r>
              <w:rPr>
                <w:rFonts w:hint="eastAsia"/>
              </w:rPr>
              <w:t xml:space="preserve">，每个采购包仅需报一个下浮率。</w:t>
            </w:r>
            <w:r>
              <w:rPr>
                <w:rFonts w:hint="eastAsia"/>
              </w:rPr>
              <w:t xml:space="preserve"> </w:t>
            </w:r>
            <w:r>
              <w:rPr>
                <w:rFonts w:hint="eastAsia"/>
              </w:rPr>
              <w:t xml:space="preserve">如供应商采购包</w:t>
            </w:r>
            <w:r>
              <w:rPr>
                <w:rFonts w:hint="eastAsia"/>
              </w:rPr>
              <w:t xml:space="preserve">1</w:t>
            </w:r>
            <w:r>
              <w:rPr>
                <w:rFonts w:hint="eastAsia"/>
              </w:rPr>
              <w:t xml:space="preserve">下浮率为</w:t>
            </w:r>
            <w:r>
              <w:rPr>
                <w:rFonts w:hint="eastAsia"/>
              </w:rPr>
              <w:t xml:space="preserve">90%</w:t>
            </w:r>
            <w:r>
              <w:rPr>
                <w:rFonts w:hint="eastAsia"/>
              </w:rPr>
              <w:t xml:space="preserve">，则其</w:t>
            </w:r>
            <w:r>
              <w:rPr>
                <w:rFonts w:hint="eastAsia"/>
              </w:rPr>
              <w:t xml:space="preserve">5</w:t>
            </w:r>
            <w:r>
              <w:rPr>
                <w:rFonts w:hint="eastAsia"/>
              </w:rPr>
              <w:t xml:space="preserve">座</w:t>
            </w:r>
            <w:r>
              <w:rPr>
                <w:rFonts w:hint="eastAsia"/>
              </w:rPr>
              <w:t xml:space="preserve">-9</w:t>
            </w:r>
            <w:r>
              <w:rPr>
                <w:rFonts w:hint="eastAsia"/>
              </w:rPr>
              <w:t xml:space="preserve">座新能源类车（纯电汽车）半日租单价</w:t>
            </w:r>
            <w:r>
              <w:rPr>
                <w:rFonts w:hint="eastAsia"/>
              </w:rPr>
              <w:t xml:space="preserve">=320*</w:t>
            </w:r>
            <w:r>
              <w:rPr>
                <w:rFonts w:hint="eastAsia"/>
              </w:rPr>
              <w:t xml:space="preserve">（</w:t>
            </w:r>
            <w:r>
              <w:rPr>
                <w:rFonts w:hint="eastAsia"/>
              </w:rPr>
              <w:t xml:space="preserve">1-90%</w:t>
            </w:r>
            <w:r>
              <w:rPr>
                <w:rFonts w:hint="eastAsia"/>
              </w:rPr>
              <w:t xml:space="preserve">）</w:t>
            </w:r>
            <w:r>
              <w:rPr>
                <w:rFonts w:hint="eastAsia"/>
              </w:rPr>
              <w:t xml:space="preserve">=32</w:t>
            </w:r>
            <w:r>
              <w:rPr>
                <w:rFonts w:hint="eastAsia"/>
              </w:rPr>
              <w:t xml:space="preserve">元；如供应商采购包</w:t>
            </w:r>
            <w:r>
              <w:rPr>
                <w:rFonts w:hint="eastAsia"/>
              </w:rPr>
              <w:t xml:space="preserve">1</w:t>
            </w:r>
            <w:r>
              <w:rPr>
                <w:rFonts w:hint="eastAsia"/>
              </w:rPr>
              <w:t xml:space="preserve">下浮率为</w:t>
            </w:r>
            <w:r>
              <w:rPr>
                <w:rFonts w:hint="eastAsia"/>
              </w:rPr>
              <w:t xml:space="preserve">10%</w:t>
            </w:r>
            <w:r>
              <w:rPr>
                <w:rFonts w:hint="eastAsia"/>
              </w:rPr>
              <w:t xml:space="preserve">，则其</w:t>
            </w:r>
            <w:r>
              <w:rPr>
                <w:rFonts w:hint="eastAsia"/>
              </w:rPr>
              <w:t xml:space="preserve">5</w:t>
            </w:r>
            <w:r>
              <w:rPr>
                <w:rFonts w:hint="eastAsia"/>
              </w:rPr>
              <w:t xml:space="preserve">座</w:t>
            </w:r>
            <w:r>
              <w:rPr>
                <w:rFonts w:hint="eastAsia"/>
              </w:rPr>
              <w:t xml:space="preserve">-9</w:t>
            </w:r>
            <w:r>
              <w:rPr>
                <w:rFonts w:hint="eastAsia"/>
              </w:rPr>
              <w:t xml:space="preserve">座新能源类车（纯电汽车）半日租单价</w:t>
            </w:r>
            <w:r>
              <w:rPr>
                <w:rFonts w:hint="eastAsia"/>
              </w:rPr>
              <w:t xml:space="preserve">=320*</w:t>
            </w:r>
            <w:r>
              <w:rPr>
                <w:rFonts w:hint="eastAsia"/>
              </w:rPr>
              <w:t xml:space="preserve">（</w:t>
            </w:r>
            <w:r>
              <w:rPr>
                <w:rFonts w:hint="eastAsia"/>
              </w:rPr>
              <w:t xml:space="preserve">1-10%</w:t>
            </w:r>
            <w:r>
              <w:rPr>
                <w:rFonts w:hint="eastAsia"/>
              </w:rPr>
              <w:t xml:space="preserve">）</w:t>
            </w:r>
            <w:r>
              <w:rPr>
                <w:rFonts w:hint="eastAsia"/>
              </w:rPr>
              <w:t xml:space="preserve">=288</w:t>
            </w:r>
            <w:r>
              <w:rPr>
                <w:rFonts w:hint="eastAsia"/>
              </w:rPr>
              <w:t xml:space="preserve">元，请各供应商结合相关实际合理进行下浮比例报价。</w:t>
            </w:r>
            <w:r/>
          </w:p>
        </w:tc>
        <w:tc>
          <w:tcPr>
            <w:tcW w:w="950" w:type="pct"/>
            <w:vAlign w:val="center"/>
            <w:textDirection w:val="lrTb"/>
            <w:noWrap w:val="false"/>
          </w:tcPr>
          <w:p>
            <w:pPr>
              <w:jc w:val="center"/>
            </w:pPr>
            <w:r>
              <w:rPr>
                <w:rFonts w:hint="eastAsia"/>
              </w:rPr>
              <w:t xml:space="preserve">%</w:t>
            </w:r>
            <w:r/>
          </w:p>
        </w:tc>
        <w:tc>
          <w:tcPr>
            <w:tcW w:w="1250" w:type="pct"/>
            <w:vAlign w:val="center"/>
            <w:textDirection w:val="lrTb"/>
            <w:noWrap w:val="false"/>
          </w:tcPr>
          <w:p>
            <w:pPr>
              <w:jc w:val="center"/>
            </w:pPr>
            <w:r>
              <w:rPr>
                <w:rFonts w:hint="eastAsia"/>
              </w:rPr>
              <w:t xml:space="preserve">1</w:t>
            </w:r>
            <w:r>
              <w:t xml:space="preserve">00%</w:t>
            </w:r>
            <w:r/>
          </w:p>
        </w:tc>
        <w:tc>
          <w:tcPr>
            <w:tcW w:w="550" w:type="pct"/>
            <w:vAlign w:val="center"/>
            <w:textDirection w:val="lrTb"/>
            <w:noWrap w:val="false"/>
          </w:tcPr>
          <w:p>
            <w:pPr>
              <w:jc w:val="center"/>
            </w:pPr>
            <w:r/>
            <w:r/>
          </w:p>
        </w:tc>
      </w:tr>
    </w:tbl>
    <w:p>
      <w:pPr>
        <w:pStyle w:val="781"/>
      </w:pPr>
      <w:r>
        <w:rPr>
          <w:rStyle w:val="974"/>
        </w:rPr>
        <w:t xml:space="preserve">金额小写：</w:t>
      </w:r>
      <w:r>
        <w:rPr>
          <w:rStyle w:val="975"/>
          <w:b/>
          <w:bCs/>
        </w:rPr>
        <w:t xml:space="preserve">金额小写</w:t>
      </w:r>
      <w:r>
        <w:rPr>
          <w:rStyle w:val="974"/>
        </w:rPr>
        <w:t xml:space="preserve"> </w:t>
      </w:r>
      <w:r/>
    </w:p>
    <w:p>
      <w:pPr>
        <w:pStyle w:val="781"/>
        <w:jc w:val="right"/>
      </w:pPr>
      <w:r>
        <w:t xml:space="preserve">日期：</w:t>
      </w:r>
      <w: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4" o:title=""/>
              </v:shape>
            </w:pict>
          </mc:Fallback>
        </mc:AlternateContent>
      </w:r>
      <w:r>
        <w:t xml:space="preserve"> 年</w:t>
      </w: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4" o:title=""/>
              </v:shape>
            </w:pict>
          </mc:Fallback>
        </mc:AlternateContent>
      </w:r>
      <w:r>
        <w:t xml:space="preserve"> 月</w:t>
      </w:r>
      <w: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t xml:space="preserve"> 日</w:t>
      </w:r>
      <w:r/>
    </w:p>
    <w:p>
      <w:pPr>
        <w:jc w:val="center"/>
        <w:spacing w:line="360" w:lineRule="auto"/>
        <w:widowControl/>
        <w:rPr>
          <w:rFonts w:ascii="黑体" w:hAnsi="Times New Roman" w:eastAsia="黑体" w:cs="Times New Roman"/>
          <w:b/>
          <w:bCs/>
          <w:sz w:val="32"/>
          <w:szCs w:val="20"/>
        </w:rPr>
      </w:pPr>
      <w:r>
        <w:rPr>
          <w:rFonts w:ascii="黑体" w:hAnsi="Times New Roman" w:eastAsia="黑体" w:cs="Times New Roman"/>
          <w:b/>
          <w:bCs/>
          <w:sz w:val="32"/>
          <w:szCs w:val="20"/>
        </w:rPr>
      </w:r>
      <w:r/>
    </w:p>
    <w:p>
      <w:pPr>
        <w:jc w:val="left"/>
        <w:spacing w:line="360" w:lineRule="auto"/>
        <w:widowControl/>
        <w:rPr>
          <w:rFonts w:ascii="宋体" w:hAnsi="宋体" w:eastAsia="宋体" w:cs="Times New Roman"/>
          <w:szCs w:val="20"/>
        </w:rPr>
      </w:pPr>
      <w:r>
        <w:rPr>
          <w:rFonts w:ascii="宋体" w:hAnsi="宋体" w:eastAsia="宋体" w:cs="Times New Roman"/>
          <w:szCs w:val="20"/>
        </w:rPr>
      </w:r>
      <w:r/>
    </w:p>
    <w:p>
      <w:pPr>
        <w:jc w:val="left"/>
        <w:spacing w:line="360" w:lineRule="auto"/>
        <w:widowControl/>
        <w:rPr>
          <w:rFonts w:ascii="宋体" w:hAnsi="宋体" w:eastAsia="宋体" w:cs="Times New Roman"/>
          <w:szCs w:val="20"/>
        </w:rPr>
      </w:pPr>
      <w:r>
        <w:rPr>
          <w:rFonts w:ascii="宋体" w:hAnsi="宋体" w:eastAsia="宋体" w:cs="Times New Roman"/>
          <w:szCs w:val="20"/>
        </w:rPr>
      </w:r>
      <w:r/>
    </w:p>
    <w:p>
      <w:pPr>
        <w:jc w:val="left"/>
        <w:spacing w:line="360" w:lineRule="auto"/>
        <w:widowControl/>
        <w:rPr>
          <w:rFonts w:ascii="宋体" w:hAnsi="宋体" w:eastAsia="宋体" w:cs="Times New Roman"/>
          <w:szCs w:val="20"/>
        </w:rPr>
      </w:pPr>
      <w:r>
        <w:rPr>
          <w:rFonts w:ascii="宋体" w:hAnsi="宋体" w:eastAsia="宋体" w:cs="Times New Roman"/>
          <w:szCs w:val="20"/>
        </w:rPr>
      </w:r>
      <w:r/>
    </w:p>
    <w:p>
      <w:pPr>
        <w:jc w:val="left"/>
        <w:spacing w:before="120" w:after="120" w:line="400" w:lineRule="exact"/>
        <w:widowControl/>
        <w:tabs>
          <w:tab w:val="right" w:pos="8720" w:leader="dot"/>
        </w:tabs>
        <w:rPr>
          <w:rFonts w:ascii="宋体" w:hAnsi="宋体" w:eastAsia="宋体" w:cs="Times New Roman"/>
          <w:caps/>
          <w:sz w:val="24"/>
          <w:szCs w:val="24"/>
        </w:rPr>
      </w:pPr>
      <w:r>
        <w:rPr>
          <w:rFonts w:ascii="宋体" w:hAnsi="宋体" w:eastAsia="宋体" w:cs="Times New Roman"/>
          <w:caps/>
          <w:sz w:val="24"/>
          <w:szCs w:val="24"/>
        </w:rPr>
      </w:r>
      <w:r/>
    </w:p>
    <w:p>
      <w:pPr>
        <w:pStyle w:val="756"/>
      </w:pPr>
      <w:r/>
      <w:r/>
    </w:p>
    <w:p>
      <w:pPr>
        <w:jc w:val="left"/>
        <w:widowControl/>
        <w:rPr>
          <w:rFonts w:ascii="方正小标宋简体" w:hAnsi="方正小标宋简体" w:eastAsia="方正小标宋简体" w:cs="方正小标宋简体"/>
          <w:sz w:val="24"/>
          <w:szCs w:val="24"/>
        </w:rPr>
      </w:pPr>
      <w:r>
        <w:rPr>
          <w:rFonts w:ascii="方正小标宋简体" w:hAnsi="方正小标宋简体" w:eastAsia="方正小标宋简体" w:cs="方正小标宋简体"/>
          <w:sz w:val="24"/>
          <w:szCs w:val="24"/>
        </w:rPr>
      </w:r>
      <w:r/>
    </w:p>
    <w:p>
      <w:pPr>
        <w:jc w:val="left"/>
        <w:widowControl/>
        <w:rPr>
          <w:rFonts w:ascii="方正小标宋简体" w:hAnsi="方正小标宋简体" w:eastAsia="方正小标宋简体" w:cs="方正小标宋简体"/>
          <w:sz w:val="24"/>
          <w:szCs w:val="24"/>
        </w:rPr>
      </w:pPr>
      <w:r>
        <w:rPr>
          <w:rFonts w:ascii="方正小标宋简体" w:hAnsi="方正小标宋简体" w:eastAsia="方正小标宋简体" w:cs="方正小标宋简体"/>
          <w:sz w:val="24"/>
          <w:szCs w:val="24"/>
        </w:rPr>
      </w:r>
      <w:r/>
    </w:p>
    <w:p>
      <w:pPr>
        <w:pStyle w:val="756"/>
      </w:pPr>
      <w:r/>
      <w:r/>
    </w:p>
    <w:p>
      <w:pPr>
        <w:pStyle w:val="756"/>
      </w:pPr>
      <w:r/>
      <w:r/>
    </w:p>
    <w:p>
      <w:pPr>
        <w:numPr>
          <w:ilvl w:val="0"/>
          <w:numId w:val="8"/>
        </w:numPr>
        <w:jc w:val="center"/>
        <w:spacing w:before="50" w:after="50"/>
        <w:widowControl/>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明</w:t>
      </w:r>
      <w:r>
        <w:rPr>
          <w:rFonts w:hint="eastAsia" w:ascii="微软雅黑" w:hAnsi="微软雅黑" w:eastAsia="微软雅黑" w:cs="微软雅黑"/>
          <w:sz w:val="32"/>
          <w:szCs w:val="32"/>
        </w:rPr>
        <w:t xml:space="preserve">细报</w:t>
      </w:r>
      <w:r>
        <w:rPr>
          <w:rFonts w:ascii="Malgun Gothic" w:hAnsi="Malgun Gothic" w:eastAsia="方正小标宋简体" w:cs="Malgun Gothic"/>
          <w:sz w:val="32"/>
          <w:szCs w:val="32"/>
        </w:rPr>
        <w:t xml:space="preserve">价表</w:t>
      </w:r>
      <w:r/>
    </w:p>
    <w:p>
      <w:pPr>
        <w:jc w:val="center"/>
        <w:widowControl/>
        <w:rPr>
          <w:rFonts w:ascii="黑体" w:hAnsi="Times New Roman" w:eastAsia="黑体" w:cs="Times New Roman"/>
          <w:bCs/>
          <w:sz w:val="28"/>
          <w:szCs w:val="28"/>
        </w:rPr>
        <w:outlineLvl w:val="0"/>
      </w:pPr>
      <w:r>
        <w:rPr>
          <w:rFonts w:ascii="黑体" w:hAnsi="Times New Roman" w:eastAsia="黑体" w:cs="Times New Roman"/>
          <w:bCs/>
          <w:sz w:val="28"/>
          <w:szCs w:val="28"/>
        </w:rPr>
      </w:r>
      <w:r/>
    </w:p>
    <w:p>
      <w:pPr>
        <w:jc w:val="center"/>
        <w:spacing w:line="360" w:lineRule="auto"/>
        <w:widowControl/>
        <w:rPr>
          <w:rFonts w:ascii="黑体" w:hAnsi="Times New Roman" w:eastAsia="黑体" w:cs="Times New Roman"/>
          <w:bCs/>
          <w:sz w:val="24"/>
          <w:szCs w:val="24"/>
        </w:rPr>
      </w:pPr>
      <w:r>
        <w:rPr>
          <w:rFonts w:ascii="宋体" w:hAnsi="宋体" w:eastAsia="宋体" w:cs="宋体"/>
          <w:sz w:val="24"/>
          <w:szCs w:val="24"/>
        </w:rPr>
        <w:t xml:space="preserve">（根据征集文件报价要求报价，格式自</w:t>
      </w:r>
      <w:r>
        <w:rPr>
          <w:rFonts w:hint="eastAsia" w:ascii="宋体" w:hAnsi="宋体" w:eastAsia="宋体" w:cs="宋体"/>
          <w:sz w:val="24"/>
          <w:szCs w:val="24"/>
        </w:rPr>
        <w:t xml:space="preserve">拟</w:t>
      </w:r>
      <w:r>
        <w:rPr>
          <w:rFonts w:ascii="宋体" w:hAnsi="宋体" w:eastAsia="宋体" w:cs="宋体"/>
          <w:sz w:val="24"/>
          <w:szCs w:val="24"/>
        </w:rPr>
        <w:t xml:space="preserve">）</w:t>
      </w:r>
      <w:r/>
    </w:p>
    <w:p>
      <w:pPr>
        <w:jc w:val="left"/>
        <w:spacing w:line="360" w:lineRule="auto"/>
        <w:widowControl/>
        <w:rPr>
          <w:rFonts w:ascii="黑体" w:hAnsi="Times New Roman" w:eastAsia="黑体" w:cs="Times New Roman"/>
          <w:bCs/>
          <w:sz w:val="24"/>
          <w:szCs w:val="24"/>
        </w:rPr>
      </w:pPr>
      <w:r>
        <w:rPr>
          <w:rFonts w:ascii="黑体" w:hAnsi="Times New Roman" w:eastAsia="黑体" w:cs="Times New Roman"/>
          <w:bCs/>
          <w:sz w:val="24"/>
          <w:szCs w:val="24"/>
        </w:rPr>
      </w:r>
      <w:r/>
    </w:p>
    <w:p>
      <w:pPr>
        <w:jc w:val="right"/>
        <w:spacing w:before="120" w:after="120" w:line="400" w:lineRule="exact"/>
        <w:widowControl/>
        <w:tabs>
          <w:tab w:val="right" w:pos="8720" w:leader="dot"/>
        </w:tabs>
        <w:rPr>
          <w:rFonts w:ascii="宋体" w:hAnsi="宋体" w:eastAsia="宋体" w:cs="宋体"/>
          <w:caps/>
          <w:sz w:val="24"/>
          <w:szCs w:val="24"/>
        </w:rPr>
      </w:pPr>
      <w:r>
        <w:rPr>
          <w:rFonts w:ascii="宋体" w:hAnsi="宋体" w:eastAsia="宋体" w:cs="宋体"/>
          <w:caps/>
          <w:sz w:val="24"/>
          <w:szCs w:val="24"/>
        </w:rPr>
      </w:r>
      <w:r/>
    </w:p>
    <w:p>
      <w:pPr>
        <w:jc w:val="right"/>
        <w:spacing w:before="120" w:after="120" w:line="400" w:lineRule="exact"/>
        <w:widowControl/>
        <w:tabs>
          <w:tab w:val="right" w:pos="8720" w:leader="dot"/>
        </w:tabs>
        <w:rPr>
          <w:rFonts w:ascii="宋体" w:hAnsi="宋体" w:eastAsia="宋体" w:cs="宋体"/>
          <w:caps/>
          <w:sz w:val="24"/>
          <w:szCs w:val="24"/>
        </w:rPr>
      </w:pPr>
      <w:r>
        <w:rPr>
          <w:rFonts w:ascii="宋体" w:hAnsi="宋体" w:eastAsia="宋体" w:cs="宋体"/>
          <w:caps/>
          <w:sz w:val="24"/>
          <w:szCs w:val="24"/>
        </w:rPr>
      </w:r>
      <w:r/>
    </w:p>
    <w:p>
      <w:pPr>
        <w:jc w:val="right"/>
        <w:spacing w:before="120" w:after="120" w:line="400" w:lineRule="exact"/>
        <w:widowControl/>
        <w:tabs>
          <w:tab w:val="right" w:pos="8720" w:leader="dot"/>
        </w:tabs>
        <w:rPr>
          <w:rFonts w:ascii="宋体" w:hAnsi="宋体" w:eastAsia="宋体" w:cs="宋体"/>
          <w:caps/>
          <w:sz w:val="24"/>
          <w:szCs w:val="24"/>
        </w:rPr>
      </w:pPr>
      <w:r>
        <w:rPr>
          <w:rFonts w:ascii="宋体" w:hAnsi="宋体" w:eastAsia="宋体" w:cs="宋体"/>
          <w:caps/>
          <w:sz w:val="24"/>
          <w:szCs w:val="24"/>
        </w:rPr>
      </w:r>
      <w:r/>
    </w:p>
    <w:p>
      <w:pPr>
        <w:jc w:val="right"/>
        <w:spacing w:before="120" w:after="120" w:line="400" w:lineRule="exact"/>
        <w:widowControl/>
        <w:tabs>
          <w:tab w:val="right" w:pos="8720" w:leader="dot"/>
        </w:tabs>
        <w:rPr>
          <w:rFonts w:ascii="宋体" w:hAnsi="宋体" w:eastAsia="宋体" w:cs="宋体"/>
          <w:caps/>
          <w:sz w:val="24"/>
          <w:szCs w:val="24"/>
        </w:rPr>
      </w:pPr>
      <w:r>
        <w:rPr>
          <w:rFonts w:ascii="宋体" w:hAnsi="宋体" w:eastAsia="宋体" w:cs="宋体"/>
          <w:caps/>
          <w:sz w:val="24"/>
          <w:szCs w:val="24"/>
        </w:rPr>
        <w:t xml:space="preserve">供应商（盖章）： </w:t>
      </w:r>
      <w:r/>
    </w:p>
    <w:p>
      <w:pPr>
        <w:jc w:val="right"/>
        <w:spacing w:before="120" w:after="120" w:line="400" w:lineRule="exact"/>
        <w:widowControl/>
        <w:tabs>
          <w:tab w:val="right" w:pos="8720" w:leader="dot"/>
        </w:tabs>
        <w:rPr>
          <w:rFonts w:ascii="宋体" w:hAnsi="宋体" w:eastAsia="宋体" w:cs="宋体"/>
          <w:caps/>
          <w:sz w:val="24"/>
          <w:szCs w:val="24"/>
        </w:rPr>
      </w:pPr>
      <w:r>
        <w:rPr>
          <w:rFonts w:ascii="宋体" w:hAnsi="宋体" w:eastAsia="宋体" w:cs="宋体"/>
          <w:caps/>
          <w:sz w:val="24"/>
          <w:szCs w:val="24"/>
        </w:rPr>
        <w:t xml:space="preserve">法定代表人或委托代理人（签字或盖章）： </w:t>
      </w:r>
      <w:r/>
    </w:p>
    <w:p>
      <w:pPr>
        <w:jc w:val="right"/>
        <w:spacing w:before="120" w:after="120" w:line="400" w:lineRule="exact"/>
        <w:widowControl/>
        <w:tabs>
          <w:tab w:val="right" w:pos="8720" w:leader="dot"/>
        </w:tabs>
        <w:rPr>
          <w:rFonts w:ascii="方正小标宋简体" w:hAnsi="方正小标宋简体" w:eastAsia="方正小标宋简体" w:cs="方正小标宋简体"/>
          <w:caps/>
          <w:sz w:val="24"/>
          <w:szCs w:val="24"/>
        </w:rPr>
      </w:pPr>
      <w:r>
        <w:rPr>
          <w:rFonts w:ascii="宋体" w:hAnsi="宋体" w:eastAsia="宋体" w:cs="宋体"/>
          <w:caps/>
          <w:sz w:val="24"/>
          <w:szCs w:val="24"/>
        </w:rPr>
        <w:t xml:space="preserve">日期： 年 月 日</w:t>
      </w:r>
      <w:r/>
    </w:p>
    <w:p>
      <w:pPr>
        <w:jc w:val="right"/>
        <w:widowControl/>
        <w:rPr>
          <w:rFonts w:ascii="方正小标宋简体" w:hAnsi="方正小标宋简体" w:eastAsia="方正小标宋简体" w:cs="方正小标宋简体"/>
          <w:sz w:val="24"/>
          <w:szCs w:val="24"/>
        </w:rPr>
      </w:pPr>
      <w:r>
        <w:rPr>
          <w:rFonts w:ascii="方正小标宋简体" w:hAnsi="方正小标宋简体" w:eastAsia="方正小标宋简体" w:cs="方正小标宋简体"/>
          <w:sz w:val="24"/>
          <w:szCs w:val="24"/>
        </w:rPr>
      </w:r>
      <w:r/>
    </w:p>
    <w:p>
      <w:pPr>
        <w:jc w:val="left"/>
        <w:spacing w:before="120" w:after="120" w:line="400" w:lineRule="exact"/>
        <w:widowControl/>
        <w:tabs>
          <w:tab w:val="right" w:pos="8720" w:leader="dot"/>
        </w:tabs>
        <w:rPr>
          <w:rFonts w:ascii="方正小标宋简体" w:hAnsi="方正小标宋简体" w:eastAsia="方正小标宋简体" w:cs="方正小标宋简体"/>
          <w:caps/>
          <w:sz w:val="24"/>
          <w:szCs w:val="24"/>
        </w:rPr>
      </w:pPr>
      <w:r>
        <w:rPr>
          <w:rFonts w:ascii="方正小标宋简体" w:hAnsi="方正小标宋简体" w:eastAsia="方正小标宋简体" w:cs="方正小标宋简体"/>
          <w:caps/>
          <w:sz w:val="24"/>
          <w:szCs w:val="24"/>
        </w:rPr>
      </w:r>
      <w:r/>
    </w:p>
    <w:p>
      <w:pPr>
        <w:jc w:val="left"/>
        <w:widowControl/>
        <w:rPr>
          <w:rFonts w:ascii="方正小标宋简体" w:hAnsi="方正小标宋简体" w:eastAsia="方正小标宋简体" w:cs="方正小标宋简体"/>
          <w:sz w:val="24"/>
          <w:szCs w:val="24"/>
        </w:rPr>
      </w:pPr>
      <w:r>
        <w:rPr>
          <w:rFonts w:ascii="方正小标宋简体" w:hAnsi="方正小标宋简体" w:eastAsia="方正小标宋简体" w:cs="方正小标宋简体"/>
          <w:sz w:val="24"/>
          <w:szCs w:val="24"/>
        </w:rPr>
      </w:r>
      <w:r/>
    </w:p>
    <w:p>
      <w:pPr>
        <w:jc w:val="left"/>
        <w:spacing w:before="120" w:after="120" w:line="400" w:lineRule="exact"/>
        <w:widowControl/>
        <w:tabs>
          <w:tab w:val="right" w:pos="8720" w:leader="dot"/>
        </w:tabs>
        <w:rPr>
          <w:rFonts w:ascii="方正小标宋简体" w:hAnsi="方正小标宋简体" w:eastAsia="方正小标宋简体" w:cs="方正小标宋简体"/>
          <w:caps/>
          <w:sz w:val="24"/>
          <w:szCs w:val="24"/>
        </w:rPr>
      </w:pPr>
      <w:r>
        <w:rPr>
          <w:rFonts w:ascii="方正小标宋简体" w:hAnsi="方正小标宋简体" w:eastAsia="方正小标宋简体" w:cs="方正小标宋简体"/>
          <w:caps/>
          <w:sz w:val="24"/>
          <w:szCs w:val="24"/>
        </w:rPr>
      </w:r>
      <w:r/>
    </w:p>
    <w:p>
      <w:pPr>
        <w:jc w:val="left"/>
        <w:widowControl/>
        <w:rPr>
          <w:rFonts w:ascii="方正小标宋简体" w:hAnsi="方正小标宋简体" w:eastAsia="方正小标宋简体" w:cs="方正小标宋简体"/>
          <w:sz w:val="24"/>
          <w:szCs w:val="24"/>
        </w:rPr>
      </w:pPr>
      <w:r>
        <w:rPr>
          <w:rFonts w:ascii="方正小标宋简体" w:hAnsi="方正小标宋简体" w:eastAsia="方正小标宋简体" w:cs="方正小标宋简体"/>
          <w:sz w:val="24"/>
          <w:szCs w:val="24"/>
        </w:rPr>
      </w:r>
      <w:r/>
    </w:p>
    <w:p>
      <w:pPr>
        <w:jc w:val="left"/>
        <w:spacing w:before="120" w:after="120" w:line="400" w:lineRule="exact"/>
        <w:widowControl/>
        <w:tabs>
          <w:tab w:val="right" w:pos="8720" w:leader="dot"/>
        </w:tabs>
        <w:rPr>
          <w:rFonts w:ascii="宋体" w:hAnsi="宋体" w:eastAsia="宋体" w:cs="Times New Roman"/>
          <w:caps/>
          <w:sz w:val="24"/>
          <w:szCs w:val="24"/>
        </w:rPr>
      </w:pPr>
      <w:r>
        <w:rPr>
          <w:rFonts w:ascii="宋体" w:hAnsi="宋体" w:eastAsia="宋体" w:cs="Times New Roman"/>
          <w:caps/>
          <w:sz w:val="24"/>
          <w:szCs w:val="24"/>
        </w:rPr>
      </w:r>
      <w:r/>
    </w:p>
    <w:p>
      <w:pPr>
        <w:ind w:firstLine="480"/>
        <w:rPr>
          <w:rFonts w:ascii="宋体" w:hAnsi="宋体" w:eastAsia="宋体" w:cs="Times New Roman"/>
          <w:sz w:val="24"/>
          <w:szCs w:val="24"/>
        </w:rPr>
      </w:pPr>
      <w:r>
        <w:rPr>
          <w:rFonts w:ascii="宋体" w:hAnsi="宋体" w:eastAsia="宋体" w:cs="Times New Roman"/>
          <w:sz w:val="24"/>
          <w:szCs w:val="24"/>
        </w:rPr>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r>
      <w:r/>
    </w:p>
    <w:p>
      <w:pPr>
        <w:jc w:val="left"/>
        <w:widowControl/>
        <w:rPr>
          <w:rFonts w:ascii="宋体" w:hAnsi="宋体" w:eastAsia="宋体" w:cs="宋体"/>
          <w:sz w:val="24"/>
          <w:szCs w:val="24"/>
        </w:rPr>
      </w:pPr>
      <w:r>
        <w:rPr>
          <w:rFonts w:ascii="宋体" w:hAnsi="宋体" w:eastAsia="宋体" w:cs="宋体"/>
          <w:sz w:val="24"/>
          <w:szCs w:val="24"/>
        </w:rPr>
        <w:br w:type="page" w:clear="all"/>
      </w:r>
      <w:r/>
    </w:p>
    <w:p>
      <w:pPr>
        <w:rPr>
          <w:rFonts w:ascii="宋体" w:hAnsi="宋体" w:eastAsia="宋体" w:cs="方正小标宋简体"/>
          <w:sz w:val="32"/>
          <w:szCs w:val="32"/>
        </w:rPr>
      </w:pPr>
      <w:r>
        <w:rPr>
          <w:rFonts w:hint="eastAsia" w:ascii="宋体" w:hAnsi="宋体" w:eastAsia="宋体" w:cs="Times New Roman"/>
          <w:bCs/>
          <w:sz w:val="24"/>
          <w:szCs w:val="24"/>
        </w:rPr>
        <w:t xml:space="preserve">附件1：</w:t>
      </w:r>
      <w:r/>
    </w:p>
    <w:p>
      <w:pPr>
        <w:ind w:firstLine="3520"/>
        <w:spacing w:line="360" w:lineRule="auto"/>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中小企业声明函</w:t>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t xml:space="preserve">本公司郑重声明，根据《政府采购促进中小企业发展管理办法》（财库﹝2020﹞46 号）的规定，本公司参加</w:t>
      </w:r>
      <w:r>
        <w:rPr>
          <w:rFonts w:hint="eastAsia" w:ascii="宋体" w:hAnsi="宋体" w:eastAsia="宋体" w:cs="Times New Roman"/>
          <w:bCs/>
          <w:sz w:val="24"/>
          <w:szCs w:val="24"/>
          <w:u w:val="single"/>
        </w:rPr>
        <w:t xml:space="preserve">盐城市机关事务管理局</w:t>
      </w:r>
      <w:r>
        <w:rPr>
          <w:rFonts w:ascii="宋体" w:hAnsi="宋体" w:eastAsia="宋体" w:cs="Times New Roman"/>
          <w:bCs/>
          <w:sz w:val="24"/>
          <w:szCs w:val="24"/>
        </w:rPr>
        <w:t xml:space="preserve">组织的</w:t>
      </w:r>
      <w:r>
        <w:rPr>
          <w:rFonts w:hint="eastAsia" w:ascii="宋体" w:hAnsi="宋体" w:eastAsia="宋体" w:cs="Times New Roman"/>
          <w:sz w:val="24"/>
          <w:szCs w:val="24"/>
        </w:rPr>
        <w:t xml:space="preserve">项目</w:t>
      </w:r>
      <w:r>
        <w:rPr>
          <w:rFonts w:ascii="宋体" w:hAnsi="宋体" w:eastAsia="宋体" w:cs="Times New Roman"/>
          <w:sz w:val="24"/>
          <w:szCs w:val="24"/>
        </w:rPr>
        <w:t xml:space="preserve">编号为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（项目名称）  </w:t>
      </w:r>
      <w:r>
        <w:rPr>
          <w:rFonts w:hint="eastAsia" w:ascii="宋体" w:hAnsi="宋体" w:eastAsia="宋体" w:cs="Times New Roman"/>
          <w:bCs/>
          <w:sz w:val="24"/>
          <w:szCs w:val="24"/>
        </w:rPr>
        <w:t xml:space="preserve">的封闭式框架协议采购活动</w:t>
      </w:r>
      <w:r>
        <w:rPr>
          <w:rFonts w:ascii="宋体" w:hAnsi="宋体" w:eastAsia="宋体" w:cs="Times New Roman"/>
          <w:bCs/>
          <w:sz w:val="24"/>
          <w:szCs w:val="24"/>
        </w:rPr>
        <w:t xml:space="preserve">，服务全部由</w:t>
      </w:r>
      <w:r>
        <w:rPr>
          <w:rFonts w:ascii="宋体" w:hAnsi="宋体" w:eastAsia="宋体" w:cs="Times New Roman"/>
          <w:bCs/>
          <w:sz w:val="24"/>
          <w:szCs w:val="24"/>
          <w:u w:val="single"/>
        </w:rPr>
        <w:t xml:space="preserve">符合政策要求的中小企业</w:t>
      </w:r>
      <w:r>
        <w:rPr>
          <w:rFonts w:ascii="宋体" w:hAnsi="宋体" w:eastAsia="宋体" w:cs="Times New Roman"/>
          <w:bCs/>
          <w:sz w:val="24"/>
          <w:szCs w:val="24"/>
        </w:rPr>
        <w:t xml:space="preserve">承接。相关企业（含联合体中的中小企业、签订分包意向协议的中小企业）的具体情况如下：</w:t>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t xml:space="preserve">1.</w:t>
      </w:r>
      <w:r>
        <w:rPr>
          <w:rFonts w:ascii="宋体" w:hAnsi="宋体" w:eastAsia="宋体" w:cs="Times New Roman"/>
          <w:bCs/>
          <w:sz w:val="24"/>
          <w:szCs w:val="24"/>
          <w:u w:val="single"/>
        </w:rPr>
        <w:t xml:space="preserve"> （标的名称） </w:t>
      </w:r>
      <w:r>
        <w:rPr>
          <w:rFonts w:ascii="宋体" w:hAnsi="宋体" w:eastAsia="宋体" w:cs="Times New Roman"/>
          <w:bCs/>
          <w:sz w:val="24"/>
          <w:szCs w:val="24"/>
        </w:rPr>
        <w:t xml:space="preserve">，属于</w:t>
      </w:r>
      <w:r>
        <w:rPr>
          <w:rFonts w:ascii="宋体" w:hAnsi="宋体" w:eastAsia="宋体" w:cs="Times New Roman"/>
          <w:bCs/>
          <w:sz w:val="24"/>
          <w:szCs w:val="24"/>
          <w:u w:val="single"/>
        </w:rPr>
        <w:t xml:space="preserve">（采购文件中明确的所属行业）</w:t>
      </w:r>
      <w:r>
        <w:rPr>
          <w:rFonts w:ascii="宋体" w:hAnsi="宋体" w:eastAsia="宋体" w:cs="Times New Roman"/>
          <w:bCs/>
          <w:sz w:val="24"/>
          <w:szCs w:val="24"/>
        </w:rPr>
        <w:t xml:space="preserve">； 承建（承接）企业为</w:t>
      </w:r>
      <w:r>
        <w:rPr>
          <w:rFonts w:ascii="宋体" w:hAnsi="宋体" w:eastAsia="宋体" w:cs="Times New Roman"/>
          <w:bCs/>
          <w:sz w:val="24"/>
          <w:szCs w:val="24"/>
          <w:u w:val="single"/>
        </w:rPr>
        <w:t xml:space="preserve">（企业名称）</w:t>
      </w:r>
      <w:r>
        <w:rPr>
          <w:rFonts w:ascii="宋体" w:hAnsi="宋体" w:eastAsia="宋体" w:cs="Times New Roman"/>
          <w:bCs/>
          <w:sz w:val="24"/>
          <w:szCs w:val="24"/>
        </w:rPr>
        <w:t xml:space="preserve">，从业人员</w:t>
      </w:r>
      <w:r>
        <w:rPr>
          <w:rFonts w:hint="eastAsia" w:ascii="宋体" w:hAnsi="宋体" w:eastAsia="宋体" w:cs="Times New Roman"/>
          <w:bCs/>
          <w:sz w:val="24"/>
          <w:szCs w:val="24"/>
        </w:rPr>
        <w:t xml:space="preserve">人数</w:t>
      </w:r>
      <w:r>
        <w:rPr>
          <w:rFonts w:ascii="宋体" w:hAnsi="宋体" w:eastAsia="宋体" w:cs="Times New Roman"/>
          <w:bCs/>
          <w:sz w:val="24"/>
          <w:szCs w:val="24"/>
        </w:rPr>
        <w:t xml:space="preserve">，营业收入为万元，资产总额为万元，属于</w:t>
      </w:r>
      <w:r>
        <w:rPr>
          <w:rFonts w:ascii="宋体" w:hAnsi="宋体" w:eastAsia="宋体" w:cs="Times New Roman"/>
          <w:bCs/>
          <w:sz w:val="24"/>
          <w:szCs w:val="24"/>
          <w:u w:val="single"/>
        </w:rPr>
        <w:t xml:space="preserve">（中型企业、 小型企业、微型企业）</w:t>
      </w:r>
      <w:r>
        <w:rPr>
          <w:rFonts w:ascii="宋体" w:hAnsi="宋体" w:eastAsia="宋体" w:cs="Times New Roman"/>
          <w:bCs/>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2.</w:t>
      </w:r>
      <w:r>
        <w:rPr>
          <w:rFonts w:ascii="宋体" w:hAnsi="宋体" w:eastAsia="宋体" w:cs="Times New Roman"/>
          <w:bCs/>
          <w:sz w:val="24"/>
          <w:szCs w:val="24"/>
          <w:u w:val="single"/>
        </w:rPr>
        <w:t xml:space="preserve"> （标的名称） </w:t>
      </w:r>
      <w:r>
        <w:rPr>
          <w:rFonts w:ascii="宋体" w:hAnsi="宋体" w:eastAsia="宋体" w:cs="Times New Roman"/>
          <w:bCs/>
          <w:sz w:val="24"/>
          <w:szCs w:val="24"/>
        </w:rPr>
        <w:t xml:space="preserve">，属于</w:t>
      </w:r>
      <w:r>
        <w:rPr>
          <w:rFonts w:ascii="宋体" w:hAnsi="宋体" w:eastAsia="宋体" w:cs="Times New Roman"/>
          <w:bCs/>
          <w:sz w:val="24"/>
          <w:szCs w:val="24"/>
          <w:u w:val="single"/>
        </w:rPr>
        <w:t xml:space="preserve">（采购文件中明确的所属行业）</w:t>
      </w:r>
      <w:r>
        <w:rPr>
          <w:rFonts w:ascii="宋体" w:hAnsi="宋体" w:eastAsia="宋体" w:cs="Times New Roman"/>
          <w:bCs/>
          <w:sz w:val="24"/>
          <w:szCs w:val="24"/>
        </w:rPr>
        <w:t xml:space="preserve">； 承建（承接）企业为</w:t>
      </w:r>
      <w:r>
        <w:rPr>
          <w:rFonts w:ascii="宋体" w:hAnsi="宋体" w:eastAsia="宋体" w:cs="Times New Roman"/>
          <w:bCs/>
          <w:sz w:val="24"/>
          <w:szCs w:val="24"/>
          <w:u w:val="single"/>
        </w:rPr>
        <w:t xml:space="preserve">（企业名称）</w:t>
      </w:r>
      <w:r>
        <w:rPr>
          <w:rFonts w:ascii="宋体" w:hAnsi="宋体" w:eastAsia="宋体" w:cs="Times New Roman"/>
          <w:bCs/>
          <w:sz w:val="24"/>
          <w:szCs w:val="24"/>
        </w:rPr>
        <w:t xml:space="preserve">，从业人员</w:t>
      </w:r>
      <w:r>
        <w:rPr>
          <w:rFonts w:hint="eastAsia" w:ascii="宋体" w:hAnsi="宋体" w:eastAsia="宋体" w:cs="Times New Roman"/>
          <w:bCs/>
          <w:sz w:val="24"/>
          <w:szCs w:val="24"/>
        </w:rPr>
        <w:t xml:space="preserve">人数</w:t>
      </w:r>
      <w:r>
        <w:rPr>
          <w:rFonts w:ascii="宋体" w:hAnsi="宋体" w:eastAsia="宋体" w:cs="Times New Roman"/>
          <w:bCs/>
          <w:sz w:val="24"/>
          <w:szCs w:val="24"/>
        </w:rPr>
        <w:t xml:space="preserve">，营业收入为万元，资产总额为万元，属于</w:t>
      </w:r>
      <w:r>
        <w:rPr>
          <w:rFonts w:ascii="宋体" w:hAnsi="宋体" w:eastAsia="宋体" w:cs="Times New Roman"/>
          <w:bCs/>
          <w:sz w:val="24"/>
          <w:szCs w:val="24"/>
          <w:u w:val="single"/>
        </w:rPr>
        <w:t xml:space="preserve">（中型企业、 小型企业、微型企业）</w:t>
      </w:r>
      <w:r>
        <w:rPr>
          <w:rFonts w:ascii="宋体" w:hAnsi="宋体" w:eastAsia="宋体" w:cs="Times New Roman"/>
          <w:bCs/>
          <w:sz w:val="24"/>
          <w:szCs w:val="24"/>
        </w:rPr>
        <w:t xml:space="preserve">；</w:t>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t xml:space="preserve">……</w:t>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80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39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供应商全称（加盖CA电子公章）：</w:t>
      </w:r>
      <w:r/>
    </w:p>
    <w:p>
      <w:pPr>
        <w:ind w:right="96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left="8140"/>
        <w:jc w:val="left"/>
        <w:spacing w:after="157" w:line="560" w:lineRule="exact"/>
        <w:tabs>
          <w:tab w:val="left" w:pos="2139" w:leader="none"/>
          <w:tab w:val="center" w:pos="4621" w:leader="none"/>
        </w:tabs>
        <w:rPr>
          <w:rFonts w:ascii="宋体" w:hAnsi="宋体" w:eastAsia="宋体" w:cs="方正小标宋简体"/>
          <w:sz w:val="24"/>
          <w:szCs w:val="24"/>
        </w:rPr>
      </w:pPr>
      <w:r>
        <w:rPr>
          <w:rFonts w:ascii="宋体" w:hAnsi="宋体" w:eastAsia="宋体" w:cs="方正小标宋简体"/>
          <w:sz w:val="24"/>
          <w:szCs w:val="24"/>
        </w:rPr>
      </w:r>
      <w:r/>
    </w:p>
    <w:p>
      <w:pPr>
        <w:ind w:left="8140"/>
        <w:jc w:val="left"/>
        <w:spacing w:after="157" w:line="560" w:lineRule="exact"/>
        <w:tabs>
          <w:tab w:val="left" w:pos="2139" w:leader="none"/>
          <w:tab w:val="center" w:pos="4621" w:leader="none"/>
        </w:tabs>
        <w:rPr>
          <w:rFonts w:ascii="宋体" w:hAnsi="宋体" w:eastAsia="宋体" w:cs="方正小标宋简体"/>
          <w:sz w:val="24"/>
          <w:szCs w:val="24"/>
        </w:rPr>
      </w:pPr>
      <w:r>
        <w:rPr>
          <w:rFonts w:ascii="宋体" w:hAnsi="宋体" w:eastAsia="宋体" w:cs="方正小标宋简体"/>
          <w:sz w:val="24"/>
          <w:szCs w:val="24"/>
        </w:rPr>
      </w:r>
      <w:r/>
    </w:p>
    <w:p>
      <w:pPr>
        <w:ind w:left="8140"/>
        <w:jc w:val="left"/>
        <w:spacing w:after="157" w:line="560" w:lineRule="exact"/>
        <w:tabs>
          <w:tab w:val="left" w:pos="2139" w:leader="none"/>
          <w:tab w:val="center" w:pos="4621" w:leader="none"/>
        </w:tabs>
        <w:rPr>
          <w:rFonts w:ascii="宋体" w:hAnsi="宋体" w:eastAsia="宋体" w:cs="方正小标宋简体"/>
          <w:sz w:val="24"/>
          <w:szCs w:val="24"/>
        </w:rPr>
      </w:pPr>
      <w:r>
        <w:rPr>
          <w:rFonts w:ascii="宋体" w:hAnsi="宋体" w:eastAsia="宋体" w:cs="方正小标宋简体"/>
          <w:sz w:val="24"/>
          <w:szCs w:val="24"/>
        </w:rPr>
      </w:r>
      <w:r/>
    </w:p>
    <w:p>
      <w:pPr>
        <w:ind w:left="8140"/>
        <w:jc w:val="left"/>
        <w:spacing w:after="157" w:line="560" w:lineRule="exact"/>
        <w:tabs>
          <w:tab w:val="left" w:pos="2139" w:leader="none"/>
          <w:tab w:val="center" w:pos="4621" w:leader="none"/>
        </w:tabs>
        <w:rPr>
          <w:rFonts w:ascii="宋体" w:hAnsi="宋体" w:eastAsia="宋体" w:cs="方正小标宋简体"/>
          <w:sz w:val="24"/>
          <w:szCs w:val="24"/>
        </w:rPr>
      </w:pPr>
      <w:r>
        <w:rPr>
          <w:rFonts w:ascii="宋体" w:hAnsi="宋体" w:eastAsia="宋体" w:cs="方正小标宋简体"/>
          <w:sz w:val="24"/>
          <w:szCs w:val="24"/>
        </w:rPr>
      </w:r>
      <w:r/>
    </w:p>
    <w:p>
      <w:pPr>
        <w:ind w:left="210"/>
        <w:jc w:val="left"/>
        <w:spacing w:after="157" w:line="560" w:lineRule="exact"/>
        <w:tabs>
          <w:tab w:val="left" w:pos="2139" w:leader="none"/>
          <w:tab w:val="center" w:pos="4621" w:leader="none"/>
        </w:tabs>
        <w:rPr>
          <w:rFonts w:ascii="宋体" w:hAnsi="宋体" w:eastAsia="宋体" w:cs="方正小标宋简体"/>
          <w:sz w:val="24"/>
          <w:szCs w:val="24"/>
        </w:rPr>
      </w:pPr>
      <w:r>
        <w:rPr>
          <w:rFonts w:ascii="宋体" w:hAnsi="宋体" w:eastAsia="宋体" w:cs="方正小标宋简体"/>
          <w:sz w:val="24"/>
          <w:szCs w:val="24"/>
        </w:rPr>
        <w:br w:type="page" w:clear="all"/>
      </w:r>
      <w:r>
        <w:rPr>
          <w:rFonts w:hint="eastAsia" w:ascii="宋体" w:hAnsi="宋体" w:eastAsia="宋体" w:cs="方正小标宋简体"/>
          <w:sz w:val="24"/>
          <w:szCs w:val="24"/>
        </w:rPr>
        <w:t xml:space="preserve">附件2</w:t>
      </w:r>
      <w:r/>
    </w:p>
    <w:p>
      <w:pPr>
        <w:jc w:val="center"/>
        <w:spacing w:after="157" w:line="560" w:lineRule="exact"/>
        <w:tabs>
          <w:tab w:val="left" w:pos="2139" w:leader="none"/>
          <w:tab w:val="center" w:pos="4621" w:leader="none"/>
        </w:tabs>
        <w:rPr>
          <w:rFonts w:ascii="宋体" w:hAnsi="宋体" w:eastAsia="宋体" w:cs="方正小标宋简体"/>
          <w:sz w:val="32"/>
          <w:szCs w:val="32"/>
        </w:rPr>
      </w:pPr>
      <w:r>
        <w:rPr>
          <w:rFonts w:hint="eastAsia" w:ascii="宋体" w:hAnsi="宋体" w:eastAsia="宋体" w:cs="方正小标宋简体"/>
          <w:sz w:val="32"/>
          <w:szCs w:val="32"/>
        </w:rPr>
        <w:t xml:space="preserve">残疾人福利性单位声明函</w:t>
      </w:r>
      <w:r/>
    </w:p>
    <w:p>
      <w:pPr>
        <w:ind w:firstLine="480"/>
        <w:spacing w:line="588"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88" w:lineRule="exact"/>
        <w:rPr>
          <w:rFonts w:ascii="宋体" w:hAnsi="宋体" w:eastAsia="宋体" w:cs="Times New Roman"/>
          <w:sz w:val="24"/>
          <w:szCs w:val="24"/>
        </w:rPr>
      </w:pPr>
      <w:r>
        <w:rPr>
          <w:rFonts w:ascii="宋体" w:hAnsi="宋体" w:eastAsia="宋体"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rPr>
        <w:t xml:space="preserve">盐城市</w:t>
      </w:r>
      <w:r>
        <w:rPr>
          <w:rFonts w:ascii="宋体" w:hAnsi="宋体" w:eastAsia="宋体" w:cs="Times New Roman"/>
          <w:sz w:val="24"/>
          <w:szCs w:val="24"/>
        </w:rPr>
        <w:t xml:space="preserve">政府采购人组织的</w:t>
      </w:r>
      <w:r>
        <w:rPr>
          <w:rFonts w:hint="eastAsia" w:ascii="宋体" w:hAnsi="宋体" w:eastAsia="宋体" w:cs="Times New Roman"/>
          <w:sz w:val="24"/>
          <w:szCs w:val="24"/>
        </w:rPr>
        <w:t xml:space="preserve">项目</w:t>
      </w:r>
      <w:r>
        <w:rPr>
          <w:rFonts w:ascii="宋体" w:hAnsi="宋体" w:eastAsia="宋体" w:cs="Times New Roman"/>
          <w:sz w:val="24"/>
          <w:szCs w:val="24"/>
        </w:rPr>
        <w:t xml:space="preserve">编号为，</w:t>
      </w:r>
      <w:r>
        <w:rPr>
          <w:rFonts w:ascii="宋体" w:hAnsi="宋体" w:eastAsia="宋体" w:cs="Times New Roman"/>
          <w:sz w:val="24"/>
          <w:szCs w:val="24"/>
          <w:u w:val="single"/>
        </w:rPr>
        <w:t xml:space="preserve">（项目名称）</w:t>
      </w:r>
      <w:r>
        <w:rPr>
          <w:rFonts w:ascii="宋体" w:hAnsi="宋体" w:eastAsia="宋体" w:cs="Times New Roman"/>
          <w:sz w:val="24"/>
          <w:szCs w:val="24"/>
        </w:rPr>
        <w:t xml:space="preserve">的</w:t>
      </w:r>
      <w:r>
        <w:rPr>
          <w:rFonts w:hint="eastAsia" w:ascii="宋体" w:hAnsi="宋体" w:eastAsia="宋体" w:cs="Times New Roman"/>
          <w:bCs/>
          <w:sz w:val="24"/>
          <w:szCs w:val="24"/>
        </w:rPr>
        <w:t xml:space="preserve">封闭式框架协议采购活动</w:t>
      </w:r>
      <w:r>
        <w:rPr>
          <w:rFonts w:ascii="宋体" w:hAnsi="宋体" w:eastAsia="宋体" w:cs="Times New Roman"/>
          <w:sz w:val="24"/>
          <w:szCs w:val="24"/>
        </w:rPr>
        <w:t xml:space="preserve">，活动提供本单位</w:t>
      </w:r>
      <w:r>
        <w:rPr>
          <w:rFonts w:hint="eastAsia" w:ascii="宋体" w:hAnsi="宋体" w:eastAsia="宋体" w:cs="Times New Roman"/>
          <w:sz w:val="24"/>
          <w:szCs w:val="24"/>
        </w:rPr>
        <w:t xml:space="preserve">提供</w:t>
      </w:r>
      <w:r>
        <w:rPr>
          <w:rFonts w:ascii="宋体" w:hAnsi="宋体" w:eastAsia="宋体" w:cs="Times New Roman"/>
          <w:sz w:val="24"/>
          <w:szCs w:val="24"/>
        </w:rPr>
        <w:t xml:space="preserve">的服务，或者提供其他残疾人福利性单位服务的服务。</w:t>
      </w:r>
      <w:r/>
    </w:p>
    <w:p>
      <w:pPr>
        <w:ind w:firstLine="480"/>
        <w:spacing w:line="588" w:lineRule="exact"/>
        <w:rPr>
          <w:rFonts w:ascii="宋体" w:hAnsi="宋体" w:eastAsia="宋体" w:cs="Times New Roman"/>
          <w:sz w:val="24"/>
          <w:szCs w:val="24"/>
        </w:rPr>
      </w:pPr>
      <w:r>
        <w:rPr>
          <w:rFonts w:ascii="宋体" w:hAnsi="宋体" w:eastAsia="宋体" w:cs="Times New Roman"/>
          <w:sz w:val="24"/>
          <w:szCs w:val="24"/>
        </w:rPr>
        <w:t xml:space="preserve">本单位对上述声明的真实性负责。如有虚假，将依法承担相应责任。</w:t>
      </w:r>
      <w:r/>
    </w:p>
    <w:p>
      <w:pPr>
        <w:ind w:firstLine="480"/>
        <w:spacing w:line="588"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88" w:lineRule="exact"/>
        <w:rPr>
          <w:rFonts w:ascii="宋体" w:hAnsi="宋体" w:eastAsia="宋体" w:cs="Times New Roman"/>
          <w:sz w:val="24"/>
          <w:szCs w:val="24"/>
        </w:rPr>
      </w:pPr>
      <w:r>
        <w:rPr>
          <w:rFonts w:ascii="宋体" w:hAnsi="宋体" w:eastAsia="宋体" w:cs="Times New Roman"/>
          <w:sz w:val="24"/>
          <w:szCs w:val="24"/>
        </w:rPr>
        <w:t xml:space="preserve">（备注：1、供应商如不提供此声明函，价格将不做相应扣除。2、入围供应商为残疾人福利单位的，此声明函将随入围结果同时公告，接受社会监督）</w:t>
      </w:r>
      <w:r/>
    </w:p>
    <w:p>
      <w:pPr>
        <w:ind w:firstLine="624"/>
        <w:spacing w:line="588" w:lineRule="exact"/>
        <w:rPr>
          <w:rFonts w:ascii="宋体" w:hAnsi="宋体" w:eastAsia="宋体" w:cs="Times New Roman"/>
          <w:spacing w:val="6"/>
          <w:sz w:val="30"/>
          <w:szCs w:val="30"/>
        </w:rPr>
      </w:pPr>
      <w:r>
        <w:rPr>
          <w:rFonts w:ascii="宋体" w:hAnsi="宋体" w:eastAsia="宋体" w:cs="Times New Roman"/>
          <w:spacing w:val="6"/>
          <w:sz w:val="30"/>
          <w:szCs w:val="30"/>
        </w:rPr>
      </w:r>
      <w:r/>
    </w:p>
    <w:p>
      <w:pPr>
        <w:ind w:firstLine="480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32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供应商全称（加盖CA电子公章）：</w:t>
      </w:r>
      <w:r/>
    </w:p>
    <w:p>
      <w:pPr>
        <w:ind w:right="96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p>
    <w:p>
      <w:pPr>
        <w:spacing w:before="120" w:after="120" w:line="400" w:lineRule="exact"/>
        <w:tabs>
          <w:tab w:val="right" w:pos="8720" w:leader="dot"/>
        </w:tabs>
        <w:rPr>
          <w:rFonts w:ascii="宋体" w:hAnsi="宋体" w:eastAsia="宋体" w:cs="Times New Roman"/>
          <w:caps/>
          <w:sz w:val="24"/>
          <w:szCs w:val="24"/>
        </w:rPr>
      </w:pPr>
      <w:r>
        <w:rPr>
          <w:rFonts w:ascii="宋体" w:hAnsi="宋体" w:eastAsia="宋体" w:cs="Times New Roman"/>
          <w:caps/>
          <w:sz w:val="24"/>
          <w:szCs w:val="24"/>
        </w:rPr>
      </w:r>
      <w:r/>
    </w:p>
    <w:p>
      <w:pPr>
        <w:ind w:firstLine="240"/>
        <w:jc w:val="center"/>
        <w:spacing w:line="56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before="50" w:after="50"/>
        <w:rPr>
          <w:rFonts w:ascii="方正小标宋简体" w:hAnsi="方正小标宋简体" w:eastAsia="方正小标宋简体" w:cs="方正小标宋简体"/>
          <w:sz w:val="32"/>
          <w:szCs w:val="32"/>
        </w:rPr>
      </w:pPr>
      <w:r>
        <w:rPr>
          <w:rFonts w:hint="eastAsia" w:ascii="宋体" w:hAnsi="宋体" w:eastAsia="宋体" w:cs="方正小标宋简体"/>
          <w:sz w:val="24"/>
          <w:szCs w:val="24"/>
        </w:rPr>
        <w:br w:type="page" w:clear="all"/>
      </w:r>
      <w:bookmarkEnd w:id="215"/>
      <w:r>
        <w:rPr>
          <w:rFonts w:hint="eastAsia" w:ascii="方正小标宋简体" w:hAnsi="方正小标宋简体" w:eastAsia="方正小标宋简体" w:cs="方正小标宋简体"/>
          <w:sz w:val="32"/>
          <w:szCs w:val="32"/>
        </w:rPr>
        <w:t xml:space="preserve">五、征集文件需求偏离表</w:t>
      </w:r>
      <w:r/>
    </w:p>
    <w:p>
      <w:pPr>
        <w:spacing w:line="400" w:lineRule="exact"/>
        <w:widowControl/>
        <w:rPr>
          <w:rFonts w:ascii="黑体" w:hAnsi="Times New Roman" w:eastAsia="黑体" w:cs="Times New Roman"/>
          <w:bCs/>
          <w:sz w:val="28"/>
          <w:szCs w:val="28"/>
        </w:rPr>
        <w:outlineLvl w:val="0"/>
      </w:pPr>
      <w:r>
        <w:rPr>
          <w:rFonts w:ascii="黑体" w:hAnsi="Times New Roman" w:eastAsia="黑体" w:cs="Times New Roman"/>
          <w:bCs/>
          <w:sz w:val="28"/>
          <w:szCs w:val="28"/>
        </w:rPr>
      </w:r>
      <w:r/>
    </w:p>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供应商名称（盖章）                         </w:t>
      </w:r>
      <w:r/>
    </w:p>
    <w:p>
      <w:pPr>
        <w:jc w:val="left"/>
        <w:spacing w:line="360" w:lineRule="auto"/>
        <w:widowControl/>
        <w:rPr>
          <w:rFonts w:ascii="宋体" w:hAnsi="宋体" w:eastAsia="宋体" w:cs="宋体"/>
          <w:sz w:val="24"/>
          <w:szCs w:val="24"/>
        </w:rPr>
      </w:pPr>
      <w:r>
        <w:rPr>
          <w:rFonts w:hint="eastAsia" w:ascii="宋体" w:hAnsi="宋体" w:eastAsia="宋体" w:cs="宋体"/>
          <w:bCs/>
          <w:sz w:val="24"/>
          <w:szCs w:val="24"/>
        </w:rPr>
        <w:t xml:space="preserve">项目编号：</w:t>
      </w:r>
      <w:r/>
    </w:p>
    <w:tbl>
      <w:tblPr>
        <w:tblW w:w="9709" w:type="dxa"/>
        <w:tblInd w:w="-375" w:type="dxa"/>
        <w:tblLayout w:type="fixed"/>
        <w:tblCellMar>
          <w:left w:w="0" w:type="dxa"/>
          <w:right w:w="0" w:type="dxa"/>
        </w:tblCellMar>
        <w:tblLook w:val="04A0" w:firstRow="1" w:lastRow="0" w:firstColumn="1" w:lastColumn="0" w:noHBand="0" w:noVBand="1"/>
      </w:tblPr>
      <w:tblGrid>
        <w:gridCol w:w="1840"/>
        <w:gridCol w:w="3275"/>
        <w:gridCol w:w="2521"/>
        <w:gridCol w:w="2073"/>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40" w:type="dxa"/>
            <w:vAlign w:val="center"/>
            <w:textDirection w:val="lrTb"/>
            <w:noWrap/>
          </w:tcPr>
          <w:p>
            <w:pPr>
              <w:jc w:val="center"/>
              <w:widowControl/>
              <w:rPr>
                <w:rFonts w:ascii="宋体" w:hAnsi="Times New Roman" w:eastAsia="宋体" w:cs="Times New Roman"/>
                <w:b/>
                <w:bCs/>
                <w:sz w:val="24"/>
                <w:szCs w:val="24"/>
              </w:rPr>
            </w:pPr>
            <w:r>
              <w:rPr>
                <w:rFonts w:hint="eastAsia" w:ascii="宋体" w:hAnsi="宋体" w:eastAsia="宋体"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3275" w:type="dxa"/>
            <w:vAlign w:val="center"/>
            <w:textDirection w:val="lrTb"/>
            <w:noWrap w:val="false"/>
          </w:tcPr>
          <w:p>
            <w:pPr>
              <w:jc w:val="center"/>
              <w:widowControl/>
              <w:rPr>
                <w:rFonts w:ascii="宋体" w:hAnsi="Times New Roman" w:eastAsia="宋体" w:cs="Times New Roman"/>
                <w:b/>
                <w:bCs/>
                <w:sz w:val="24"/>
                <w:szCs w:val="24"/>
              </w:rPr>
            </w:pPr>
            <w:r>
              <w:rPr>
                <w:rFonts w:hint="eastAsia" w:ascii="宋体" w:hAnsi="宋体" w:eastAsia="宋体" w:cs="Times New Roman"/>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jc w:val="center"/>
              <w:widowControl/>
              <w:rPr>
                <w:rFonts w:ascii="宋体" w:hAnsi="Times New Roman" w:eastAsia="宋体" w:cs="Times New Roman"/>
                <w:b/>
                <w:bCs/>
                <w:sz w:val="24"/>
                <w:szCs w:val="24"/>
              </w:rPr>
            </w:pPr>
            <w:r>
              <w:rPr>
                <w:rFonts w:hint="eastAsia" w:ascii="宋体" w:hAnsi="宋体" w:eastAsia="宋体" w:cs="Times New Roman"/>
                <w:b/>
                <w:bCs/>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widowControl/>
              <w:rPr>
                <w:rFonts w:ascii="宋体" w:hAnsi="Times New Roman" w:eastAsia="宋体" w:cs="Times New Roman"/>
                <w:b/>
                <w:bCs/>
                <w:sz w:val="24"/>
                <w:szCs w:val="24"/>
              </w:rPr>
            </w:pPr>
            <w:r>
              <w:rPr>
                <w:rFonts w:hint="eastAsia" w:ascii="宋体" w:hAnsi="宋体" w:eastAsia="宋体" w:cs="Times New Roman"/>
                <w:b/>
                <w:bCs/>
                <w:sz w:val="24"/>
                <w:szCs w:val="24"/>
              </w:rPr>
              <w:t xml:space="preserve">偏离情况</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40" w:type="dxa"/>
            <w:vAlign w:val="center"/>
            <w:textDirection w:val="lrTb"/>
            <w:noWrap/>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c>
          <w:tcPr>
            <w:tcBorders>
              <w:top w:val="single" w:color="auto" w:sz="4" w:space="0"/>
              <w:left w:val="single" w:color="auto" w:sz="4" w:space="0"/>
              <w:bottom w:val="single" w:color="auto" w:sz="4" w:space="0"/>
              <w:right w:val="single" w:color="auto" w:sz="4" w:space="0"/>
            </w:tcBorders>
            <w:tcW w:w="3275" w:type="dxa"/>
            <w:vAlign w:val="center"/>
            <w:textDirection w:val="lrTb"/>
            <w:noWrap w:val="false"/>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40" w:type="dxa"/>
            <w:vAlign w:val="center"/>
            <w:textDirection w:val="lrTb"/>
            <w:noWrap/>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c>
          <w:tcPr>
            <w:tcBorders>
              <w:top w:val="single" w:color="auto" w:sz="4" w:space="0"/>
              <w:left w:val="single" w:color="auto" w:sz="4" w:space="0"/>
              <w:bottom w:val="single" w:color="auto" w:sz="4" w:space="0"/>
              <w:right w:val="single" w:color="auto" w:sz="4" w:space="0"/>
            </w:tcBorders>
            <w:tcW w:w="3275" w:type="dxa"/>
            <w:vAlign w:val="center"/>
            <w:textDirection w:val="lrTb"/>
            <w:noWrap w:val="false"/>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widowControl/>
              <w:rPr>
                <w:rFonts w:ascii="宋体" w:hAnsi="Times New Roman" w:eastAsia="宋体" w:cs="Times New Roman"/>
                <w:bCs/>
                <w:sz w:val="20"/>
                <w:szCs w:val="20"/>
              </w:rPr>
            </w:pPr>
            <w:r>
              <w:rPr>
                <w:rFonts w:ascii="宋体" w:hAnsi="Times New Roman" w:eastAsia="宋体" w:cs="Times New Roman"/>
                <w:bCs/>
                <w:sz w:val="20"/>
                <w:szCs w:val="20"/>
              </w:rPr>
            </w:r>
            <w:r/>
          </w:p>
        </w:tc>
      </w:tr>
    </w:tbl>
    <w:p>
      <w:pPr>
        <w:jc w:val="left"/>
        <w:widowControl/>
        <w:rPr>
          <w:rFonts w:ascii="宋体" w:hAnsi="Times New Roman" w:eastAsia="宋体" w:cs="Times New Roman"/>
          <w:b/>
          <w:sz w:val="24"/>
          <w:szCs w:val="24"/>
        </w:rPr>
      </w:pPr>
      <w:r>
        <w:rPr>
          <w:rFonts w:ascii="宋体" w:hAnsi="Times New Roman" w:eastAsia="宋体" w:cs="Times New Roman"/>
          <w:b/>
          <w:sz w:val="24"/>
          <w:szCs w:val="24"/>
        </w:rPr>
      </w:r>
      <w:r/>
    </w:p>
    <w:p>
      <w:pPr>
        <w:jc w:val="left"/>
        <w:spacing w:before="5"/>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法定代表人或授权代表签字或盖章：</w:t>
      </w:r>
      <w:r/>
    </w:p>
    <w:p>
      <w:pPr>
        <w:jc w:val="left"/>
        <w:widowControl/>
        <w:rPr>
          <w:rFonts w:ascii="宋体" w:hAnsi="Times New Roman" w:eastAsia="宋体" w:cs="Times New Roman"/>
          <w:bCs/>
          <w:sz w:val="30"/>
          <w:szCs w:val="20"/>
        </w:rPr>
      </w:pPr>
      <w:r>
        <w:rPr>
          <w:rFonts w:ascii="宋体" w:hAnsi="Times New Roman" w:eastAsia="宋体" w:cs="Times New Roman"/>
          <w:bCs/>
          <w:sz w:val="30"/>
          <w:szCs w:val="20"/>
        </w:rPr>
      </w:r>
      <w:r/>
    </w:p>
    <w:p>
      <w:pPr>
        <w:ind w:firstLine="420"/>
        <w:jc w:val="left"/>
        <w:spacing w:line="360" w:lineRule="auto"/>
        <w:widowControl/>
        <w:rPr>
          <w:rFonts w:ascii="宋体" w:hAnsi="宋体" w:eastAsia="宋体" w:cs="Times New Roman"/>
          <w:bCs/>
          <w:sz w:val="24"/>
          <w:szCs w:val="24"/>
        </w:rPr>
        <w:outlineLvl w:val="0"/>
      </w:pPr>
      <w:r>
        <w:rPr>
          <w:rFonts w:hint="eastAsia" w:ascii="宋体" w:hAnsi="宋体" w:eastAsia="宋体" w:cs="Times New Roman"/>
          <w:bCs/>
          <w:sz w:val="24"/>
          <w:szCs w:val="24"/>
        </w:rPr>
        <w:t xml:space="preserve">注：（</w:t>
      </w: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）本表不得删除。</w:t>
      </w:r>
      <w:r/>
    </w:p>
    <w:p>
      <w:pPr>
        <w:ind w:firstLine="420"/>
        <w:jc w:val="left"/>
        <w:spacing w:line="360" w:lineRule="auto"/>
        <w:widowControl/>
        <w:rPr>
          <w:rFonts w:ascii="宋体" w:hAnsi="宋体" w:eastAsia="宋体" w:cs="Times New Roman"/>
          <w:bCs/>
          <w:sz w:val="24"/>
          <w:szCs w:val="24"/>
        </w:rPr>
        <w:outlineLvl w:val="0"/>
      </w:pP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）对本征集文件中所有要求如无任何偏离情况，请于本表“响应情况”中注明“响应”，于“偏离情况”中注明“无偏离”。</w:t>
      </w:r>
      <w:r/>
    </w:p>
    <w:p>
      <w:pPr>
        <w:ind w:firstLine="420"/>
        <w:jc w:val="left"/>
        <w:spacing w:line="360" w:lineRule="auto"/>
        <w:widowControl/>
        <w:rPr>
          <w:rFonts w:ascii="宋体" w:hAnsi="Times New Roman" w:eastAsia="宋体" w:cs="Times New Roman"/>
          <w:bCs/>
          <w:sz w:val="24"/>
          <w:szCs w:val="24"/>
        </w:rPr>
        <w:outlineLvl w:val="0"/>
      </w:pPr>
      <w:r>
        <w:rPr>
          <w:rFonts w:hint="eastAsia" w:ascii="宋体" w:hAnsi="宋体" w:eastAsia="宋体" w:cs="Times New Roman"/>
          <w:bCs/>
          <w:sz w:val="24"/>
          <w:szCs w:val="24"/>
        </w:rPr>
        <w:t xml:space="preserve">   （3）如有偏离项，请于本表“响应情况”中写明实报内容，于“偏离情况”中注明实际偏离情况（比如“正偏离”），本项目采购要求均不接受负偏离。其余无偏离内容不须赘述。</w:t>
      </w:r>
      <w:r/>
    </w:p>
    <w:p>
      <w:pPr>
        <w:ind w:firstLine="420"/>
        <w:jc w:val="left"/>
        <w:spacing w:line="360" w:lineRule="auto"/>
        <w:widowControl/>
        <w:rPr>
          <w:rFonts w:ascii="宋体" w:hAnsi="Times New Roman" w:eastAsia="宋体" w:cs="Times New Roman"/>
          <w:bCs/>
          <w:sz w:val="24"/>
          <w:szCs w:val="24"/>
        </w:rPr>
        <w:outlineLvl w:val="0"/>
      </w:pPr>
      <w:r>
        <w:rPr>
          <w:rFonts w:hint="eastAsia" w:ascii="宋体" w:hAnsi="宋体" w:eastAsia="宋体" w:cs="Times New Roman"/>
          <w:bCs/>
          <w:sz w:val="24"/>
          <w:szCs w:val="24"/>
        </w:rPr>
        <w:t xml:space="preserve">   （4）表格不够可自行延长。</w:t>
      </w:r>
      <w:r/>
    </w:p>
    <w:p>
      <w:pPr>
        <w:ind w:firstLine="4800"/>
        <w:jc w:val="left"/>
        <w:spacing w:line="360" w:lineRule="auto"/>
        <w:widowControl/>
        <w:rPr>
          <w:rFonts w:ascii="宋体" w:hAnsi="宋体" w:eastAsia="宋体" w:cs="Times New Roman"/>
          <w:sz w:val="24"/>
          <w:szCs w:val="24"/>
        </w:rPr>
      </w:pPr>
      <w:r>
        <w:rPr>
          <w:rFonts w:ascii="宋体" w:hAnsi="宋体" w:eastAsia="宋体" w:cs="Times New Roman"/>
          <w:sz w:val="24"/>
          <w:szCs w:val="24"/>
        </w:rPr>
      </w:r>
      <w:r/>
    </w:p>
    <w:p>
      <w:pPr>
        <w:jc w:val="left"/>
        <w:widowControl/>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p>
    <w:p>
      <w:pPr>
        <w:jc w:val="center"/>
        <w:spacing w:before="50" w:after="50"/>
        <w:widowControl/>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六、供</w:t>
      </w:r>
      <w:r>
        <w:rPr>
          <w:rFonts w:hint="eastAsia" w:ascii="微软雅黑" w:hAnsi="微软雅黑" w:eastAsia="微软雅黑" w:cs="微软雅黑"/>
          <w:sz w:val="32"/>
          <w:szCs w:val="32"/>
        </w:rPr>
        <w:t xml:space="preserve">应</w:t>
      </w:r>
      <w:r>
        <w:rPr>
          <w:rFonts w:ascii="Malgun Gothic" w:hAnsi="Malgun Gothic" w:eastAsia="方正小标宋简体" w:cs="Malgun Gothic"/>
          <w:sz w:val="32"/>
          <w:szCs w:val="32"/>
        </w:rPr>
        <w:t xml:space="preserve">商情</w:t>
      </w:r>
      <w:r>
        <w:rPr>
          <w:rFonts w:hint="eastAsia" w:ascii="微软雅黑" w:hAnsi="微软雅黑" w:eastAsia="微软雅黑" w:cs="微软雅黑"/>
          <w:sz w:val="32"/>
          <w:szCs w:val="32"/>
        </w:rPr>
        <w:t xml:space="preserve">况</w:t>
      </w:r>
      <w:r>
        <w:rPr>
          <w:rFonts w:ascii="Malgun Gothic" w:hAnsi="Malgun Gothic" w:eastAsia="方正小标宋简体" w:cs="Malgun Gothic"/>
          <w:sz w:val="32"/>
          <w:szCs w:val="32"/>
        </w:rPr>
        <w:t xml:space="preserve">表</w:t>
      </w:r>
      <w:r/>
    </w:p>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供应商名称（盖章）                         </w:t>
      </w:r>
      <w:r/>
    </w:p>
    <w:p>
      <w:pPr>
        <w:jc w:val="left"/>
        <w:spacing w:line="360" w:lineRule="auto"/>
        <w:widowControl/>
        <w:rPr>
          <w:rFonts w:ascii="黑体" w:hAnsi="宋体" w:eastAsia="黑体" w:cs="Times New Roman"/>
          <w:sz w:val="24"/>
          <w:szCs w:val="24"/>
        </w:rPr>
      </w:pPr>
      <w:r>
        <w:rPr>
          <w:rFonts w:hint="eastAsia" w:ascii="宋体" w:hAnsi="宋体" w:eastAsia="宋体" w:cs="宋体"/>
          <w:bCs/>
          <w:sz w:val="24"/>
          <w:szCs w:val="24"/>
        </w:rPr>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89"/>
        <w:gridCol w:w="1387"/>
        <w:gridCol w:w="844"/>
        <w:gridCol w:w="599"/>
        <w:gridCol w:w="571"/>
        <w:gridCol w:w="828"/>
        <w:gridCol w:w="83"/>
        <w:gridCol w:w="624"/>
        <w:gridCol w:w="932"/>
        <w:gridCol w:w="1371"/>
      </w:tblGrid>
      <w:tr>
        <w:trPr>
          <w:jc w:val="center"/>
          <w:trHeight w:val="473"/>
        </w:trPr>
        <w:tc>
          <w:tcPr>
            <w:shd w:val="clear" w:color="auto" w:fill="auto"/>
            <w:tcW w:w="2412"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供应商名称（全称）</w:t>
            </w:r>
            <w:r/>
          </w:p>
        </w:tc>
        <w:tc>
          <w:tcPr>
            <w:gridSpan w:val="9"/>
            <w:shd w:val="clear" w:color="auto" w:fill="auto"/>
            <w:tcW w:w="7307"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Height w:val="473"/>
        </w:trPr>
        <w:tc>
          <w:tcPr>
            <w:shd w:val="clear" w:color="auto" w:fill="auto"/>
            <w:tcW w:w="2412"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企业地址</w:t>
            </w:r>
            <w:r/>
          </w:p>
        </w:tc>
        <w:tc>
          <w:tcPr>
            <w:gridSpan w:val="9"/>
            <w:shd w:val="clear" w:color="auto" w:fill="auto"/>
            <w:tcW w:w="7307" w:type="dxa"/>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   区）</w:t>
            </w:r>
            <w:r/>
          </w:p>
        </w:tc>
      </w:tr>
      <w:tr>
        <w:trPr>
          <w:jc w:val="center"/>
          <w:trHeight w:val="473"/>
        </w:trPr>
        <w:tc>
          <w:tcPr>
            <w:shd w:val="clear" w:color="auto" w:fill="auto"/>
            <w:tcW w:w="2412"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成立日期</w:t>
            </w:r>
            <w:r/>
          </w:p>
        </w:tc>
        <w:tc>
          <w:tcPr>
            <w:gridSpan w:val="2"/>
            <w:shd w:val="clear" w:color="auto" w:fill="auto"/>
            <w:tcW w:w="2253"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gridSpan w:val="4"/>
            <w:shd w:val="clear" w:color="auto" w:fill="auto"/>
            <w:tcW w:w="2098"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注册资金</w:t>
            </w:r>
            <w:r/>
          </w:p>
        </w:tc>
        <w:tc>
          <w:tcPr>
            <w:gridSpan w:val="3"/>
            <w:shd w:val="clear" w:color="auto" w:fill="auto"/>
            <w:tcW w:w="2956"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万元</w:t>
            </w:r>
            <w:r/>
          </w:p>
        </w:tc>
      </w:tr>
      <w:tr>
        <w:trPr>
          <w:jc w:val="center"/>
          <w:trHeight w:val="473"/>
        </w:trPr>
        <w:tc>
          <w:tcPr>
            <w:shd w:val="clear" w:color="auto" w:fill="auto"/>
            <w:tcW w:w="241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统一社会信用代码</w:t>
            </w:r>
            <w:r/>
          </w:p>
        </w:tc>
        <w:tc>
          <w:tcPr>
            <w:gridSpan w:val="9"/>
            <w:shd w:val="clear" w:color="auto" w:fill="auto"/>
            <w:tcW w:w="7307"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Height w:val="999"/>
        </w:trPr>
        <w:tc>
          <w:tcPr>
            <w:shd w:val="clear" w:color="auto" w:fill="auto"/>
            <w:tcW w:w="2412"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经营面积</w:t>
            </w:r>
            <w:r/>
          </w:p>
        </w:tc>
        <w:tc>
          <w:tcPr>
            <w:gridSpan w:val="2"/>
            <w:shd w:val="clear" w:color="auto" w:fill="auto"/>
            <w:tcW w:w="2253"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sz w:val="24"/>
                <w:szCs w:val="24"/>
              </w:rPr>
              <w:t xml:space="preserve">平方米</w:t>
            </w:r>
            <w:r/>
          </w:p>
        </w:tc>
        <w:tc>
          <w:tcPr>
            <w:gridSpan w:val="4"/>
            <w:shd w:val="clear" w:color="auto" w:fill="auto"/>
            <w:tcW w:w="2098"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其中：</w:t>
            </w:r>
            <w:r/>
          </w:p>
        </w:tc>
        <w:tc>
          <w:tcPr>
            <w:gridSpan w:val="3"/>
            <w:shd w:val="clear" w:color="auto" w:fill="auto"/>
            <w:tcW w:w="2956" w:type="dxa"/>
            <w:vAlign w:val="center"/>
            <w:textDirection w:val="lrTb"/>
            <w:noWrap w:val="false"/>
          </w:tcPr>
          <w:p>
            <w:pPr>
              <w:spacing w:line="360" w:lineRule="auto"/>
              <w:rPr>
                <w:rFonts w:ascii="宋体" w:hAnsi="宋体" w:eastAsia="宋体" w:cs="Times New Roman"/>
                <w:sz w:val="24"/>
                <w:szCs w:val="24"/>
              </w:rPr>
            </w:pPr>
            <w:r>
              <w:rPr>
                <w:rFonts w:ascii="宋体" w:hAnsi="宋体" w:eastAsia="宋体" w:cs="Times New Roman"/>
                <w:sz w:val="24"/>
                <w:szCs w:val="24"/>
              </w:rPr>
              <w:t xml:space="preserve">自有面积</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平方米；</w:t>
            </w:r>
            <w:r/>
          </w:p>
          <w:p>
            <w:pPr>
              <w:jc w:val="center"/>
              <w:spacing w:line="400" w:lineRule="exact"/>
              <w:rPr>
                <w:rFonts w:ascii="宋体" w:hAnsi="宋体" w:eastAsia="宋体" w:cs="Times New Roman"/>
                <w:bCs/>
                <w:sz w:val="24"/>
                <w:szCs w:val="24"/>
              </w:rPr>
            </w:pPr>
            <w:r>
              <w:rPr>
                <w:rFonts w:ascii="宋体" w:hAnsi="宋体" w:eastAsia="宋体" w:cs="Times New Roman"/>
                <w:sz w:val="24"/>
                <w:szCs w:val="24"/>
              </w:rPr>
              <w:t xml:space="preserve">承租面积</w:t>
            </w:r>
            <w:r>
              <w:rPr>
                <w:rFonts w:ascii="宋体" w:hAnsi="宋体" w:eastAsia="宋体" w:cs="Times New Roman"/>
                <w:sz w:val="24"/>
                <w:szCs w:val="24"/>
                <w:u w:val="single"/>
              </w:rPr>
              <w:t xml:space="preserve">      </w:t>
            </w:r>
            <w:r>
              <w:rPr>
                <w:rFonts w:ascii="宋体" w:hAnsi="宋体" w:eastAsia="宋体" w:cs="Times New Roman"/>
                <w:sz w:val="24"/>
                <w:szCs w:val="24"/>
              </w:rPr>
              <w:t xml:space="preserve">平方米</w:t>
            </w:r>
            <w:r/>
          </w:p>
        </w:tc>
      </w:tr>
      <w:tr>
        <w:trPr>
          <w:jc w:val="center"/>
          <w:trHeight w:val="473"/>
        </w:trPr>
        <w:tc>
          <w:tcPr>
            <w:shd w:val="clear" w:color="auto" w:fill="auto"/>
            <w:tcW w:w="241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客运</w:t>
            </w:r>
            <w:r>
              <w:rPr>
                <w:rFonts w:ascii="宋体" w:hAnsi="宋体" w:eastAsia="宋体" w:cs="Times New Roman"/>
                <w:bCs/>
                <w:sz w:val="24"/>
                <w:szCs w:val="24"/>
              </w:rPr>
              <w:t xml:space="preserve">资质</w:t>
            </w:r>
            <w:r/>
          </w:p>
        </w:tc>
        <w:tc>
          <w:tcPr>
            <w:gridSpan w:val="2"/>
            <w:shd w:val="clear" w:color="auto" w:fill="auto"/>
            <w:tcW w:w="2253" w:type="dxa"/>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gridSpan w:val="4"/>
            <w:shd w:val="clear" w:color="auto" w:fill="auto"/>
            <w:tcW w:w="2098" w:type="dxa"/>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经营范围</w:t>
            </w:r>
            <w:r/>
          </w:p>
        </w:tc>
        <w:tc>
          <w:tcPr>
            <w:gridSpan w:val="3"/>
            <w:shd w:val="clear" w:color="auto" w:fill="auto"/>
            <w:tcW w:w="2956" w:type="dxa"/>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Height w:val="473"/>
        </w:trPr>
        <w:tc>
          <w:tcPr>
            <w:shd w:val="clear" w:color="auto" w:fill="auto"/>
            <w:tcW w:w="2412"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开户银行</w:t>
            </w:r>
            <w:r/>
          </w:p>
        </w:tc>
        <w:tc>
          <w:tcPr>
            <w:gridSpan w:val="9"/>
            <w:shd w:val="clear" w:color="auto" w:fill="auto"/>
            <w:tcW w:w="7307" w:type="dxa"/>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开户行、开户名称、银行账号</w:t>
            </w:r>
            <w:r>
              <w:rPr>
                <w:rFonts w:ascii="宋体" w:hAnsi="宋体" w:eastAsia="宋体" w:cs="Times New Roman"/>
                <w:bCs/>
                <w:sz w:val="24"/>
                <w:szCs w:val="24"/>
              </w:rPr>
              <w:t xml:space="preserve">）</w:t>
            </w:r>
            <w:r/>
          </w:p>
        </w:tc>
      </w:tr>
      <w:tr>
        <w:trPr>
          <w:jc w:val="center"/>
          <w:trHeight w:val="473"/>
        </w:trPr>
        <w:tc>
          <w:tcPr>
            <w:shd w:val="clear" w:color="auto" w:fill="auto"/>
            <w:tcW w:w="241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法定代表人</w:t>
            </w:r>
            <w:r/>
          </w:p>
        </w:tc>
        <w:tc>
          <w:tcPr>
            <w:gridSpan w:val="4"/>
            <w:shd w:val="clear" w:color="auto" w:fill="auto"/>
            <w:tcW w:w="3432"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gridSpan w:val="3"/>
            <w:shd w:val="clear" w:color="auto" w:fill="auto"/>
            <w:tcW w:w="1549"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联系电话</w:t>
            </w:r>
            <w:r/>
          </w:p>
        </w:tc>
        <w:tc>
          <w:tcPr>
            <w:gridSpan w:val="2"/>
            <w:shd w:val="clear" w:color="auto" w:fill="auto"/>
            <w:tcW w:w="2326"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Height w:val="925"/>
        </w:trPr>
        <w:tc>
          <w:tcPr>
            <w:shd w:val="clear" w:color="auto" w:fill="auto"/>
            <w:tcW w:w="241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公务用车出租客运服务总协调人</w:t>
            </w:r>
            <w:r/>
          </w:p>
        </w:tc>
        <w:tc>
          <w:tcPr>
            <w:gridSpan w:val="4"/>
            <w:shd w:val="clear" w:color="auto" w:fill="auto"/>
            <w:tcW w:w="3432"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gridSpan w:val="3"/>
            <w:shd w:val="clear" w:color="auto" w:fill="auto"/>
            <w:tcW w:w="1549"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联系电话</w:t>
            </w:r>
            <w:r/>
          </w:p>
        </w:tc>
        <w:tc>
          <w:tcPr>
            <w:gridSpan w:val="2"/>
            <w:shd w:val="clear" w:color="auto" w:fill="auto"/>
            <w:tcW w:w="2326"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Height w:val="473"/>
        </w:trPr>
        <w:tc>
          <w:tcPr>
            <w:shd w:val="clear" w:color="auto" w:fill="auto"/>
            <w:tcW w:w="241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职工人员总数</w:t>
            </w:r>
            <w:r/>
          </w:p>
        </w:tc>
        <w:tc>
          <w:tcPr>
            <w:shd w:val="clear" w:color="auto" w:fill="auto"/>
            <w:tcW w:w="1400"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gridSpan w:val="2"/>
            <w:shd w:val="clear" w:color="auto" w:fill="auto"/>
            <w:tcW w:w="1456"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管理人员数</w:t>
            </w:r>
            <w:r/>
          </w:p>
        </w:tc>
        <w:tc>
          <w:tcPr>
            <w:gridSpan w:val="2"/>
            <w:shd w:val="clear" w:color="auto" w:fill="auto"/>
            <w:tcW w:w="1412"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gridSpan w:val="3"/>
            <w:shd w:val="clear" w:color="auto" w:fill="auto"/>
            <w:tcW w:w="1655"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驾驶员数量</w:t>
            </w:r>
            <w:r/>
          </w:p>
        </w:tc>
        <w:tc>
          <w:tcPr>
            <w:shd w:val="clear" w:color="auto" w:fill="auto"/>
            <w:tcW w:w="1384"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r>
      <w:tr>
        <w:trPr>
          <w:jc w:val="center"/>
          <w:trHeight w:val="2304"/>
        </w:trPr>
        <w:tc>
          <w:tcPr>
            <w:shd w:val="clear" w:color="auto" w:fill="auto"/>
            <w:tcW w:w="241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其他需要说明的情况：</w:t>
            </w:r>
            <w:r/>
          </w:p>
        </w:tc>
        <w:tc>
          <w:tcPr>
            <w:gridSpan w:val="9"/>
            <w:shd w:val="clear" w:color="auto" w:fill="auto"/>
            <w:tcW w:w="7307"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r>
    </w:tbl>
    <w:p>
      <w:pPr>
        <w:jc w:val="left"/>
        <w:widowControl/>
        <w:rPr>
          <w:rFonts w:ascii="宋体" w:hAnsi="Times New Roman" w:eastAsia="宋体" w:cs="Times New Roman"/>
          <w:b/>
          <w:sz w:val="24"/>
          <w:szCs w:val="24"/>
        </w:rPr>
      </w:pPr>
      <w:r>
        <w:rPr>
          <w:rFonts w:ascii="宋体" w:hAnsi="Times New Roman" w:eastAsia="宋体" w:cs="Times New Roman"/>
          <w:b/>
          <w:sz w:val="24"/>
          <w:szCs w:val="24"/>
        </w:rPr>
      </w:r>
      <w:r/>
    </w:p>
    <w:p>
      <w:pPr>
        <w:jc w:val="left"/>
        <w:spacing w:before="5"/>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法定代表人或授权代表签字或盖章：</w:t>
      </w:r>
      <w:r/>
    </w:p>
    <w:p>
      <w:pPr>
        <w:jc w:val="left"/>
        <w:spacing w:before="5"/>
        <w:widowControl/>
        <w:rPr>
          <w:rFonts w:ascii="宋体" w:hAnsi="宋体" w:eastAsia="宋体" w:cs="Times New Roman"/>
          <w:sz w:val="24"/>
          <w:szCs w:val="24"/>
        </w:rPr>
      </w:pPr>
      <w:r>
        <w:rPr>
          <w:rFonts w:ascii="宋体" w:hAnsi="宋体" w:eastAsia="宋体" w:cs="Times New Roman"/>
          <w:sz w:val="24"/>
          <w:szCs w:val="24"/>
        </w:rPr>
      </w:r>
      <w:r/>
    </w:p>
    <w:p>
      <w:pPr>
        <w:ind w:firstLine="4800"/>
        <w:jc w:val="left"/>
        <w:spacing w:line="360" w:lineRule="auto"/>
        <w:widowControl/>
        <w:rPr>
          <w:rFonts w:ascii="宋体" w:hAnsi="宋体" w:eastAsia="宋体" w:cs="Times New Roman"/>
          <w:sz w:val="24"/>
          <w:szCs w:val="24"/>
        </w:rPr>
      </w:pPr>
      <w:r>
        <w:rPr>
          <w:rFonts w:ascii="宋体" w:hAnsi="宋体" w:eastAsia="宋体" w:cs="Times New Roman"/>
          <w:sz w:val="24"/>
          <w:szCs w:val="24"/>
        </w:rPr>
      </w:r>
      <w:r/>
    </w:p>
    <w:p>
      <w:pPr>
        <w:jc w:val="left"/>
        <w:widowControl/>
        <w:rPr>
          <w:rFonts w:ascii="黑体" w:hAnsi="宋体" w:eastAsia="黑体" w:cs="Times New Roman"/>
          <w:bCs/>
          <w:sz w:val="24"/>
          <w:szCs w:val="24"/>
        </w:rPr>
      </w:pPr>
      <w:r>
        <w:rPr>
          <w:rFonts w:hint="eastAsia" w:ascii="宋体" w:hAnsi="宋体" w:eastAsia="宋体" w:cs="宋体"/>
          <w:b/>
          <w:bCs/>
          <w:sz w:val="20"/>
          <w:szCs w:val="21"/>
        </w:rPr>
        <w:br w:type="page" w:clear="all"/>
      </w:r>
      <w:r/>
    </w:p>
    <w:p>
      <w:pPr>
        <w:ind w:firstLine="3840"/>
        <w:jc w:val="lef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ind w:firstLine="3520"/>
        <w:jc w:val="left"/>
        <w:rPr>
          <w:rFonts w:ascii="方正小标宋简体" w:hAnsi="方正小标宋简体" w:eastAsia="方正小标宋简体" w:cs="方正小标宋简体"/>
          <w:sz w:val="32"/>
          <w:szCs w:val="32"/>
        </w:rPr>
      </w:pPr>
      <w:r>
        <w:rPr>
          <w:rFonts w:hint="eastAsia" w:cs="方正小标宋简体" w:asciiTheme="minorEastAsia" w:hAnsiTheme="minorEastAsia"/>
          <w:sz w:val="32"/>
          <w:szCs w:val="32"/>
        </w:rPr>
        <w:t xml:space="preserve">七</w:t>
      </w:r>
      <w:r>
        <w:rPr>
          <w:rFonts w:hint="eastAsia" w:ascii="方正小标宋简体" w:hAnsi="方正小标宋简体" w:eastAsia="方正小标宋简体" w:cs="方正小标宋简体"/>
          <w:sz w:val="32"/>
          <w:szCs w:val="32"/>
        </w:rPr>
        <w:t xml:space="preserve">、保密承</w:t>
      </w:r>
      <w:r>
        <w:rPr>
          <w:rFonts w:hint="eastAsia" w:ascii="微软雅黑" w:hAnsi="微软雅黑" w:eastAsia="微软雅黑" w:cs="微软雅黑"/>
          <w:sz w:val="32"/>
          <w:szCs w:val="32"/>
        </w:rPr>
        <w:t xml:space="preserve">诺书</w:t>
      </w:r>
      <w:r/>
    </w:p>
    <w:p>
      <w:pPr>
        <w:rPr>
          <w:rFonts w:ascii="宋体" w:hAnsi="宋体" w:eastAsia="宋体" w:cs="宋体"/>
          <w:bCs/>
          <w:sz w:val="24"/>
          <w:szCs w:val="24"/>
        </w:rPr>
      </w:pPr>
      <w:r>
        <w:rPr>
          <w:rFonts w:hint="eastAsia" w:ascii="宋体" w:hAnsi="宋体" w:eastAsia="宋体" w:cs="宋体"/>
          <w:sz w:val="24"/>
          <w:szCs w:val="24"/>
        </w:rPr>
        <w:t xml:space="preserve"> </w:t>
      </w:r>
      <w:r>
        <w:rPr>
          <w:rFonts w:hint="eastAsia" w:ascii="宋体" w:hAnsi="宋体" w:eastAsia="宋体" w:cs="宋体"/>
          <w:bCs/>
          <w:sz w:val="24"/>
          <w:szCs w:val="24"/>
        </w:rPr>
        <w:t xml:space="preserve">                       </w:t>
      </w:r>
      <w:r/>
    </w:p>
    <w:p>
      <w:pPr>
        <w:ind w:firstLine="480"/>
        <w:rPr>
          <w:rFonts w:ascii="宋体" w:hAnsi="宋体" w:eastAsia="宋体" w:cs="宋体"/>
          <w:sz w:val="24"/>
          <w:szCs w:val="24"/>
        </w:rPr>
      </w:pPr>
      <w:r>
        <w:rPr>
          <w:rFonts w:hint="eastAsia" w:ascii="宋体" w:hAnsi="宋体" w:eastAsia="宋体" w:cs="宋体"/>
          <w:bCs/>
          <w:sz w:val="24"/>
          <w:szCs w:val="24"/>
        </w:rPr>
        <w:t xml:space="preserve">项目编号：</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本公司了解有关保密法规制度，知悉应当承担的保密义务和法律责任，在此承诺：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一、认真遵守国家保密法律、法规和规章制度，履行保密义务。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二、要严守秘密，不该说的绝对不说，不该问的绝对不问，不该看的绝对不看，不该记录的绝对不记录。</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三、不提供虚假个人信息，自愿接受保密审查。</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四、不违规记录、存储、复制各类秘密信息，不违规留存秘密载体。</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五、不准在工作场所进行拍照、摄像。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六、所有文件按规定统一收发、统一销毁。</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七、员工离岗时，自愿接受脱密期管理。</w:t>
      </w:r>
      <w:r/>
    </w:p>
    <w:p>
      <w:pPr>
        <w:ind w:firstLine="480"/>
        <w:jc w:val="right"/>
        <w:spacing w:line="360" w:lineRule="auto"/>
        <w:rPr>
          <w:rFonts w:ascii="宋体" w:hAnsi="宋体" w:eastAsia="宋体" w:cs="宋体"/>
          <w:sz w:val="24"/>
          <w:szCs w:val="24"/>
        </w:rPr>
      </w:pPr>
      <w:r>
        <w:rPr>
          <w:rFonts w:ascii="宋体" w:hAnsi="宋体" w:eastAsia="宋体" w:cs="宋体"/>
          <w:sz w:val="24"/>
          <w:szCs w:val="24"/>
        </w:rPr>
      </w:r>
      <w:r/>
    </w:p>
    <w:p>
      <w:pPr>
        <w:jc w:val="right"/>
        <w:spacing w:line="360" w:lineRule="auto"/>
        <w:widowControl/>
        <w:rPr>
          <w:rFonts w:ascii="宋体" w:hAnsi="宋体" w:eastAsia="宋体" w:cs="Times New Roman"/>
          <w:sz w:val="24"/>
          <w:szCs w:val="24"/>
        </w:rPr>
      </w:pPr>
      <w:r>
        <w:rPr>
          <w:rFonts w:ascii="宋体" w:hAnsi="宋体" w:eastAsia="宋体" w:cs="Times New Roman"/>
          <w:sz w:val="24"/>
          <w:szCs w:val="24"/>
        </w:rPr>
      </w:r>
      <w:r/>
    </w:p>
    <w:p>
      <w:pPr>
        <w:jc w:val="right"/>
        <w:spacing w:line="360" w:lineRule="auto"/>
        <w:widowControl/>
        <w:rPr>
          <w:rFonts w:ascii="宋体" w:hAnsi="宋体" w:eastAsia="宋体" w:cs="Times New Roman"/>
          <w:sz w:val="24"/>
          <w:szCs w:val="24"/>
        </w:rPr>
      </w:pPr>
      <w:r>
        <w:rPr>
          <w:rFonts w:ascii="宋体" w:hAnsi="宋体" w:eastAsia="宋体" w:cs="Times New Roman"/>
          <w:sz w:val="24"/>
          <w:szCs w:val="24"/>
        </w:rPr>
      </w:r>
      <w:r/>
    </w:p>
    <w:p>
      <w:pPr>
        <w:ind w:firstLine="4560"/>
        <w:jc w:val="left"/>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供应商全称（加盖CA电子公章）：</w:t>
      </w:r>
      <w:r/>
    </w:p>
    <w:p>
      <w:pPr>
        <w:ind w:right="960"/>
        <w:jc w:val="right"/>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日  期：</w:t>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jc w:val="left"/>
        <w:spacing w:line="400" w:lineRule="exact"/>
        <w:widowControl/>
        <w:rPr>
          <w:rFonts w:ascii="黑体" w:hAnsi="宋体" w:eastAsia="黑体" w:cs="Times New Roman"/>
          <w:bCs/>
          <w:sz w:val="24"/>
          <w:szCs w:val="24"/>
        </w:rPr>
      </w:pPr>
      <w:r>
        <w:rPr>
          <w:rFonts w:ascii="黑体" w:hAnsi="宋体" w:eastAsia="黑体" w:cs="Times New Roman"/>
          <w:bCs/>
          <w:sz w:val="24"/>
          <w:szCs w:val="24"/>
        </w:rPr>
      </w:r>
      <w:r/>
    </w:p>
    <w:p>
      <w:pPr>
        <w:ind w:firstLine="3840"/>
        <w:jc w:val="left"/>
        <w:rPr>
          <w:rFonts w:ascii="方正小标宋简体" w:hAnsi="方正小标宋简体" w:eastAsia="方正小标宋简体" w:cs="方正小标宋简体"/>
          <w:sz w:val="32"/>
          <w:szCs w:val="32"/>
        </w:rPr>
      </w:pPr>
      <w:r>
        <w:rPr>
          <w:rFonts w:hint="eastAsia" w:ascii="微软雅黑" w:hAnsi="微软雅黑" w:eastAsia="微软雅黑" w:cs="微软雅黑"/>
          <w:sz w:val="32"/>
          <w:szCs w:val="32"/>
        </w:rPr>
        <w:t xml:space="preserve">八、</w:t>
      </w:r>
      <w:r>
        <w:rPr>
          <w:rFonts w:ascii="Malgun Gothic" w:hAnsi="Malgun Gothic" w:eastAsia="方正小标宋简体" w:cs="Malgun Gothic"/>
          <w:sz w:val="32"/>
          <w:szCs w:val="32"/>
        </w:rPr>
        <w:t xml:space="preserve">承</w:t>
      </w:r>
      <w:r>
        <w:rPr>
          <w:rFonts w:hint="eastAsia" w:ascii="微软雅黑" w:hAnsi="微软雅黑" w:eastAsia="微软雅黑" w:cs="微软雅黑"/>
          <w:sz w:val="32"/>
          <w:szCs w:val="32"/>
        </w:rPr>
        <w:t xml:space="preserve">诺书</w:t>
      </w:r>
      <w:r/>
    </w:p>
    <w:p>
      <w:pPr>
        <w:jc w:val="center"/>
        <w:spacing w:line="360" w:lineRule="auto"/>
        <w:rPr>
          <w:rFonts w:ascii="黑体" w:hAnsi="Arial" w:eastAsia="黑体" w:cs="Times New Roman"/>
          <w:bCs/>
          <w:sz w:val="24"/>
          <w:szCs w:val="24"/>
        </w:rPr>
      </w:pPr>
      <w:r>
        <w:rPr>
          <w:rFonts w:ascii="黑体" w:hAnsi="Arial" w:eastAsia="黑体" w:cs="Times New Roman"/>
          <w:bCs/>
          <w:sz w:val="24"/>
          <w:szCs w:val="24"/>
        </w:rPr>
      </w:r>
      <w:r/>
    </w:p>
    <w:p>
      <w:pPr>
        <w:rPr>
          <w:rFonts w:ascii="宋体" w:hAnsi="宋体" w:eastAsia="宋体" w:cs="宋体"/>
          <w:bCs/>
          <w:sz w:val="24"/>
          <w:szCs w:val="24"/>
        </w:rPr>
      </w:pPr>
      <w:r>
        <w:rPr>
          <w:rFonts w:hint="eastAsia" w:ascii="宋体" w:hAnsi="宋体" w:eastAsia="宋体" w:cs="宋体"/>
          <w:bCs/>
          <w:sz w:val="24"/>
          <w:szCs w:val="24"/>
        </w:rPr>
        <w:t xml:space="preserve">项目编号：</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bCs/>
          <w:sz w:val="28"/>
          <w:szCs w:val="24"/>
        </w:rPr>
      </w:pPr>
      <w:r>
        <w:rPr>
          <w:rFonts w:hint="eastAsia" w:ascii="宋体" w:hAnsi="宋体" w:eastAsia="宋体" w:cs="宋体"/>
          <w:bCs/>
          <w:sz w:val="28"/>
          <w:szCs w:val="24"/>
        </w:rPr>
        <w:t xml:space="preserve">一、供应商中标后按照框架协议要求提供车辆及人员等相关证明材料，中标通知书发放后2</w:t>
      </w:r>
      <w:r>
        <w:rPr>
          <w:rFonts w:ascii="宋体" w:hAnsi="宋体" w:eastAsia="宋体" w:cs="宋体"/>
          <w:bCs/>
          <w:sz w:val="28"/>
          <w:szCs w:val="24"/>
        </w:rPr>
        <w:t xml:space="preserve">0日历天内提供。</w:t>
      </w:r>
      <w:r/>
    </w:p>
    <w:p>
      <w:pPr>
        <w:ind w:firstLine="480"/>
        <w:spacing w:line="360" w:lineRule="auto"/>
        <w:rPr>
          <w:rFonts w:ascii="宋体" w:hAnsi="宋体" w:eastAsia="宋体" w:cs="宋体"/>
          <w:bCs/>
          <w:sz w:val="28"/>
          <w:szCs w:val="24"/>
        </w:rPr>
      </w:pPr>
      <w:r>
        <w:rPr>
          <w:rFonts w:hint="eastAsia" w:ascii="宋体" w:hAnsi="宋体" w:eastAsia="宋体" w:cs="宋体"/>
          <w:bCs/>
          <w:sz w:val="28"/>
          <w:szCs w:val="24"/>
        </w:rPr>
        <w:t xml:space="preserve">二、供应商按照卫生保洁、驾驶人员的统一着装、服务创新、服务质量标准化、应急方案、疫情防控、服务监督、重大活动保障的顺序编写（简要描述即可）。</w:t>
      </w:r>
      <w:r/>
    </w:p>
    <w:p>
      <w:pPr>
        <w:ind w:firstLine="480"/>
        <w:jc w:val="left"/>
        <w:spacing w:line="360" w:lineRule="auto"/>
        <w:widowControl/>
        <w:rPr>
          <w:rFonts w:ascii="宋体" w:hAnsi="宋体" w:eastAsia="宋体" w:cs="宋体"/>
          <w:b/>
          <w:bCs/>
          <w:sz w:val="28"/>
          <w:szCs w:val="21"/>
        </w:rPr>
      </w:pPr>
      <w:r>
        <w:rPr>
          <w:rFonts w:ascii="宋体" w:hAnsi="宋体" w:eastAsia="宋体" w:cs="宋体"/>
          <w:b/>
          <w:bCs/>
          <w:sz w:val="28"/>
          <w:szCs w:val="21"/>
        </w:rPr>
      </w:r>
      <w:r/>
    </w:p>
    <w:p>
      <w:pPr>
        <w:ind w:firstLine="480"/>
        <w:jc w:val="left"/>
        <w:spacing w:line="360" w:lineRule="auto"/>
        <w:widowControl/>
        <w:rPr>
          <w:rFonts w:ascii="宋体" w:hAnsi="宋体" w:eastAsia="宋体" w:cs="宋体"/>
          <w:b/>
          <w:bCs/>
          <w:sz w:val="24"/>
          <w:szCs w:val="21"/>
        </w:rPr>
      </w:pPr>
      <w:r>
        <w:rPr>
          <w:rFonts w:ascii="宋体" w:hAnsi="宋体" w:eastAsia="宋体" w:cs="宋体"/>
          <w:b/>
          <w:bCs/>
          <w:sz w:val="24"/>
          <w:szCs w:val="21"/>
        </w:rPr>
      </w:r>
      <w:r/>
    </w:p>
    <w:p>
      <w:pPr>
        <w:ind w:firstLine="480"/>
        <w:jc w:val="left"/>
        <w:spacing w:line="360" w:lineRule="auto"/>
        <w:widowControl/>
        <w:rPr>
          <w:rFonts w:ascii="宋体" w:hAnsi="宋体" w:eastAsia="宋体" w:cs="宋体"/>
          <w:b/>
          <w:bCs/>
          <w:sz w:val="24"/>
          <w:szCs w:val="21"/>
        </w:rPr>
      </w:pPr>
      <w:r>
        <w:rPr>
          <w:rFonts w:ascii="宋体" w:hAnsi="宋体" w:eastAsia="宋体" w:cs="宋体"/>
          <w:b/>
          <w:bCs/>
          <w:sz w:val="24"/>
          <w:szCs w:val="21"/>
        </w:rPr>
      </w:r>
      <w:r/>
    </w:p>
    <w:p>
      <w:pPr>
        <w:jc w:val="left"/>
        <w:spacing w:line="360" w:lineRule="auto"/>
        <w:widowControl/>
        <w:rPr>
          <w:rFonts w:ascii="宋体" w:hAnsi="宋体" w:eastAsia="宋体" w:cs="宋体"/>
          <w:b/>
          <w:bCs/>
          <w:sz w:val="24"/>
          <w:szCs w:val="21"/>
        </w:rPr>
      </w:pPr>
      <w:r>
        <w:rPr>
          <w:rFonts w:ascii="宋体" w:hAnsi="宋体" w:eastAsia="宋体" w:cs="宋体"/>
          <w:b/>
          <w:bCs/>
          <w:sz w:val="24"/>
          <w:szCs w:val="21"/>
        </w:rPr>
      </w:r>
      <w:r/>
    </w:p>
    <w:p>
      <w:pPr>
        <w:ind w:firstLine="4320"/>
        <w:jc w:val="left"/>
        <w:spacing w:line="360" w:lineRule="auto"/>
        <w:widowControl/>
        <w:rPr>
          <w:rFonts w:ascii="宋体" w:hAnsi="宋体" w:eastAsia="宋体" w:cs="Times New Roman"/>
          <w:sz w:val="24"/>
          <w:szCs w:val="24"/>
        </w:rPr>
      </w:pPr>
      <w:r/>
      <w:bookmarkStart w:id="216" w:name="OLE_LINK41"/>
      <w:r/>
      <w:bookmarkStart w:id="217" w:name="OLE_LINK42"/>
      <w:r>
        <w:rPr>
          <w:rFonts w:hint="eastAsia" w:ascii="宋体" w:hAnsi="宋体" w:eastAsia="宋体" w:cs="Times New Roman"/>
          <w:sz w:val="24"/>
          <w:szCs w:val="24"/>
        </w:rPr>
        <w:t xml:space="preserve">供应商</w:t>
      </w:r>
      <w:bookmarkEnd w:id="216"/>
      <w:r/>
      <w:bookmarkEnd w:id="217"/>
      <w:r>
        <w:rPr>
          <w:rFonts w:hint="eastAsia" w:ascii="宋体" w:hAnsi="宋体" w:eastAsia="宋体" w:cs="Times New Roman"/>
          <w:sz w:val="24"/>
          <w:szCs w:val="24"/>
        </w:rPr>
        <w:t xml:space="preserve">全称（加盖CA电子公章）：</w:t>
      </w:r>
      <w:r/>
    </w:p>
    <w:p>
      <w:pPr>
        <w:ind w:right="960"/>
        <w:jc w:val="right"/>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日  期：</w:t>
      </w:r>
      <w:r/>
    </w:p>
    <w:p>
      <w:pPr>
        <w:jc w:val="center"/>
        <w:rPr>
          <w:rFonts w:ascii="宋体" w:hAnsi="宋体" w:eastAsia="宋体" w:cs="Times New Roman"/>
          <w:sz w:val="32"/>
          <w:szCs w:val="32"/>
        </w:rPr>
      </w:pPr>
      <w:r>
        <w:rPr>
          <w:rFonts w:ascii="宋体" w:hAnsi="宋体" w:eastAsia="宋体" w:cs="Times New Roman"/>
          <w:sz w:val="32"/>
          <w:szCs w:val="32"/>
        </w:rPr>
        <w:br w:type="page" w:clear="all"/>
      </w:r>
      <w:r/>
    </w:p>
    <w:p>
      <w:pPr>
        <w:ind w:firstLine="300"/>
        <w:jc w:val="center"/>
        <w:spacing w:before="50" w:after="50"/>
        <w:rPr>
          <w:rFonts w:ascii="宋体" w:hAnsi="宋体" w:eastAsia="宋体" w:cs="Times New Roman"/>
          <w:sz w:val="32"/>
          <w:szCs w:val="32"/>
        </w:rPr>
      </w:pPr>
      <w:r>
        <w:rPr>
          <w:rFonts w:hint="eastAsia" w:ascii="宋体" w:hAnsi="宋体" w:eastAsia="宋体" w:cs="Times New Roman"/>
          <w:sz w:val="32"/>
          <w:szCs w:val="32"/>
        </w:rPr>
        <w:t xml:space="preserve">九、盐城市政府采购事前信用承诺书</w:t>
      </w:r>
      <w:r/>
    </w:p>
    <w:p>
      <w:pPr>
        <w:ind w:firstLine="640"/>
        <w:jc w:val="left"/>
        <w:spacing w:line="500" w:lineRule="exact"/>
        <w:widowControl/>
        <w:rPr>
          <w:rFonts w:ascii="宋体" w:hAnsi="宋体" w:eastAsia="宋体" w:cs="宋体"/>
          <w:sz w:val="32"/>
          <w:szCs w:val="32"/>
        </w:rPr>
      </w:pPr>
      <w:r>
        <w:rPr>
          <w:rFonts w:ascii="宋体" w:hAnsi="宋体" w:eastAsia="宋体" w:cs="宋体"/>
          <w:sz w:val="32"/>
          <w:szCs w:val="32"/>
        </w:rPr>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   （四）严格遵守即时信息公示规定，及时维护和更新“中国政府采购网”、“江苏政府采购网”、“盐城市政府采购网”中与本单位相关的信息；</w:t>
      </w:r>
      <w:r/>
    </w:p>
    <w:p>
      <w:pPr>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   （六）自觉接受政府、行业组织、社会公众、新闻舆论的监督；</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   （八）本人已认真阅读了上述承诺，并向本单位员工做了宣传教育。</w:t>
      </w:r>
      <w:r/>
    </w:p>
    <w:p>
      <w:pPr>
        <w:ind w:firstLine="4080"/>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法定代表人签名：</w:t>
      </w:r>
      <w:r/>
    </w:p>
    <w:p>
      <w:pPr>
        <w:jc w:val="center"/>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              单位名称（盖章）：</w:t>
      </w:r>
      <w:r/>
    </w:p>
    <w:p>
      <w:pPr>
        <w:jc w:val="center"/>
        <w:spacing w:line="500" w:lineRule="exact"/>
        <w:widowControl/>
        <w:rPr>
          <w:rFonts w:ascii="宋体" w:hAnsi="宋体" w:eastAsia="宋体" w:cs="Times New Roman"/>
          <w:sz w:val="32"/>
          <w:szCs w:val="32"/>
        </w:rPr>
      </w:pPr>
      <w:r>
        <w:rPr>
          <w:rFonts w:hint="eastAsia" w:ascii="宋体" w:hAnsi="宋体" w:eastAsia="宋体" w:cs="Times New Roman"/>
          <w:sz w:val="24"/>
          <w:szCs w:val="24"/>
        </w:rPr>
        <w:t xml:space="preserve">          年    月    日</w:t>
      </w:r>
      <w:r/>
    </w:p>
    <w:p>
      <w:pPr>
        <w:rPr>
          <w:rFonts w:ascii="宋体" w:hAnsi="宋体" w:eastAsia="宋体" w:cs="Courier New"/>
          <w:i/>
          <w:iCs/>
          <w:sz w:val="24"/>
          <w:szCs w:val="24"/>
          <w:u w:val="single"/>
        </w:rPr>
      </w:pPr>
      <w:r>
        <w:rPr>
          <w:rFonts w:ascii="宋体" w:hAnsi="宋体" w:eastAsia="宋体" w:cs="Courier New"/>
          <w:i/>
          <w:iCs/>
          <w:sz w:val="24"/>
          <w:szCs w:val="24"/>
          <w:u w:val="single"/>
        </w:rPr>
      </w:r>
      <w:r/>
    </w:p>
    <w:p>
      <w:pPr>
        <w:jc w:val="center"/>
        <w:spacing w:before="100" w:after="100"/>
        <w:widowControl/>
        <w:rPr>
          <w:rFonts w:ascii="宋体" w:hAnsi="宋体" w:cs="宋体"/>
          <w:b/>
          <w:color w:val="000000"/>
          <w:sz w:val="32"/>
          <w:szCs w:val="32"/>
        </w:rPr>
      </w:pPr>
      <w:r>
        <w:rPr>
          <w:rFonts w:ascii="宋体" w:hAnsi="宋体" w:cs="宋体"/>
          <w:b/>
          <w:color w:val="000000"/>
          <w:sz w:val="32"/>
          <w:szCs w:val="32"/>
        </w:rPr>
      </w:r>
      <w:r/>
    </w:p>
    <w:p>
      <w:pPr>
        <w:jc w:val="center"/>
        <w:spacing w:before="100" w:after="100"/>
        <w:widowControl/>
        <w:rPr>
          <w:rFonts w:ascii="宋体" w:hAnsi="宋体" w:cs="宋体"/>
          <w:b/>
          <w:color w:val="000000"/>
          <w:sz w:val="32"/>
          <w:szCs w:val="32"/>
        </w:rPr>
      </w:pPr>
      <w:r>
        <w:rPr>
          <w:rFonts w:ascii="宋体" w:hAnsi="宋体" w:cs="宋体"/>
          <w:b/>
          <w:color w:val="000000"/>
          <w:sz w:val="32"/>
          <w:szCs w:val="32"/>
        </w:rPr>
      </w:r>
      <w:r/>
    </w:p>
    <w:p>
      <w:pPr>
        <w:jc w:val="center"/>
        <w:spacing w:before="100" w:after="100"/>
        <w:widowControl/>
        <w:rPr>
          <w:rFonts w:ascii="宋体" w:hAnsi="宋体" w:cs="宋体"/>
          <w:b/>
          <w:color w:val="000000"/>
          <w:sz w:val="32"/>
          <w:szCs w:val="32"/>
        </w:rPr>
      </w:pPr>
      <w:r>
        <w:rPr>
          <w:rFonts w:ascii="宋体" w:hAnsi="宋体" w:cs="宋体"/>
          <w:b/>
          <w:color w:val="000000"/>
          <w:sz w:val="32"/>
          <w:szCs w:val="32"/>
        </w:rPr>
      </w:r>
      <w:r/>
    </w:p>
    <w:p>
      <w:pPr>
        <w:jc w:val="center"/>
        <w:spacing w:before="100" w:after="100"/>
        <w:widowControl/>
        <w:rPr>
          <w:rFonts w:ascii="宋体" w:hAnsi="宋体" w:cs="宋体"/>
          <w:b/>
          <w:color w:val="000000"/>
          <w:sz w:val="32"/>
          <w:szCs w:val="32"/>
        </w:rPr>
      </w:pPr>
      <w:r>
        <w:rPr>
          <w:rFonts w:hint="eastAsia" w:ascii="宋体" w:hAnsi="宋体" w:cs="宋体"/>
          <w:b/>
          <w:color w:val="000000"/>
          <w:sz w:val="32"/>
          <w:szCs w:val="32"/>
        </w:rPr>
        <w:t xml:space="preserve">质疑函范本</w:t>
      </w:r>
      <w:r/>
    </w:p>
    <w:p>
      <w:pPr>
        <w:spacing w:before="290" w:after="100" w:line="360" w:lineRule="auto"/>
        <w:widowControl/>
        <w:rPr>
          <w:rFonts w:ascii="宋体" w:hAnsi="宋体" w:cs="宋体"/>
          <w:sz w:val="24"/>
          <w:szCs w:val="24"/>
        </w:rPr>
      </w:pPr>
      <w:r>
        <w:rPr>
          <w:rFonts w:hint="eastAsia" w:ascii="宋体" w:hAnsi="宋体" w:cs="宋体"/>
          <w:color w:val="000000"/>
          <w:sz w:val="24"/>
          <w:szCs w:val="24"/>
        </w:rPr>
        <w:t xml:space="preserve">一、质疑供应商基本信息</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t xml:space="preserve"> </w:t>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二、质疑项目基本情况</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三、质疑事项具体内容</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p>
    <w:p>
      <w:pPr>
        <w:jc w:val="left"/>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质疑事项2</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四、与质疑事项相关的质疑请求</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p>
    <w:p>
      <w:pPr>
        <w:spacing w:before="100" w:after="100"/>
        <w:widowControl/>
        <w:rPr>
          <w:rFonts w:ascii="宋体" w:hAnsi="宋体" w:cs="宋体"/>
          <w:sz w:val="24"/>
          <w:szCs w:val="24"/>
        </w:rPr>
      </w:pPr>
      <w:r>
        <w:rPr>
          <w:rFonts w:hint="eastAsia" w:ascii="宋体" w:hAnsi="宋体" w:cs="宋体"/>
          <w:color w:val="000000"/>
          <w:sz w:val="24"/>
          <w:szCs w:val="24"/>
        </w:rPr>
        <w:t xml:space="preserve">签字(签章)：                 公章：               日期：    </w:t>
      </w:r>
      <w:r/>
    </w:p>
    <w:p>
      <w:pPr>
        <w:spacing w:before="100" w:after="100" w:line="0" w:lineRule="atLeast"/>
        <w:widowControl/>
        <w:rPr>
          <w:rFonts w:ascii="宋体" w:hAnsi="宋体" w:cs="宋体"/>
          <w:sz w:val="24"/>
          <w:szCs w:val="24"/>
        </w:rPr>
      </w:pPr>
      <w:r>
        <w:rPr>
          <w:rFonts w:hint="eastAsia" w:ascii="宋体" w:hAnsi="宋体" w:cs="宋体"/>
          <w:b/>
          <w:color w:val="000000"/>
          <w:sz w:val="24"/>
          <w:szCs w:val="24"/>
        </w:rPr>
        <w:t xml:space="preserve">质疑函制作说明：</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1.供应商提出质疑时，应提交质疑函和必要的证明材料。</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3.质疑供应商若对项目的某一分包进行质疑，质疑函中应列明具体分包号。</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4.质疑函的质疑事项应具体、明确，并有必要的事实依据和法律依据。</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5.质疑函的质疑请求应与质疑事项相关。</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before="100" w:after="100"/>
        <w:widowControl/>
        <w:rPr>
          <w:rFonts w:ascii="宋体" w:hAnsi="宋体" w:cs="宋体"/>
          <w:sz w:val="24"/>
          <w:szCs w:val="24"/>
        </w:rPr>
      </w:pPr>
      <w:r>
        <w:rPr>
          <w:rFonts w:hint="eastAsia" w:ascii="宋体" w:hAnsi="宋体" w:cs="宋体"/>
          <w:sz w:val="24"/>
          <w:szCs w:val="24"/>
        </w:rPr>
        <w:t xml:space="preserve"> </w:t>
      </w:r>
      <w:r/>
    </w:p>
    <w:p>
      <w:r/>
      <w:r/>
    </w:p>
    <w:sectPr>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DFKai-SB">
    <w:panose1 w:val="03050502040202030202"/>
  </w:font>
  <w:font w:name="微软雅黑">
    <w:panose1 w:val="020B0503020204020204"/>
  </w:font>
  <w:font w:name="Calibri">
    <w:panose1 w:val="020F0502020204030204"/>
  </w:font>
  <w:font w:name="Helvetica">
    <w:panose1 w:val="020B0604020202020204"/>
  </w:font>
  <w:font w:name="宋体">
    <w:panose1 w:val="02010600030101010101"/>
  </w:font>
  <w:font w:name="Malgun Gothic">
    <w:panose1 w:val="020B0503020000020004"/>
  </w:font>
  <w:font w:name="方正小标宋_GBK">
    <w:panose1 w:val="020B0503020202020204"/>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right="360" w:firstLine="360"/>
      <w:jc w:val="center"/>
      <w:tabs>
        <w:tab w:val="clear" w:pos="4153" w:leader="none"/>
      </w:tabs>
      <w:rPr>
        <w:rFonts w:ascii="宋体"/>
      </w:rPr>
    </w:pPr>
    <w:r>
      <w:rPr>
        <w:rFonts w:asci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right="360" w:firstLine="360"/>
      <w:jc w:val="center"/>
      <w:tabs>
        <w:tab w:val="clear" w:pos="4153" w:leader="none"/>
      </w:tabs>
      <w:rPr>
        <w:rFonts w:asci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sz w:val="24"/>
        <w:szCs w:val="24"/>
      </w:rPr>
      <w:pBdr>
        <w:bottom w:val="single" w:color="auto" w:sz="4" w:space="1"/>
      </w:pBdr>
    </w:pPr>
    <w:r>
      <w:rPr>
        <w:rFonts w:hint="eastAsia"/>
        <w:sz w:val="24"/>
        <w:szCs w:val="24"/>
      </w:rPr>
      <w:t xml:space="preserve">盐城市机关事务管理局</w:t>
    </w:r>
    <w:bookmarkStart w:id="2" w:name="OLE_LINK46"/>
    <w:r/>
    <w:bookmarkStart w:id="3" w:name="OLE_LINK47"/>
    <w:r>
      <w:rPr>
        <w:rFonts w:hint="eastAsia"/>
        <w:sz w:val="24"/>
        <w:szCs w:val="24"/>
      </w:rPr>
      <w:t xml:space="preserve">JSZC-320900-JSGX-K2025-0046</w:t>
    </w:r>
    <w:bookmarkEnd w:id="2"/>
    <w:r/>
    <w:bookmarkEnd w:id="3"/>
    <w:r>
      <w:rPr>
        <w:rFonts w:hint="eastAsia"/>
        <w:sz w:val="24"/>
        <w:szCs w:val="24"/>
      </w:rPr>
      <w:t xml:space="preserve">征集文件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1"/>
    </w:lvlOverride>
  </w:num>
  <w:num w:numId="3">
    <w:abstractNumId w:val="5"/>
    <w:lvlOverride w:ilvl="0">
      <w:startOverride w:val="6"/>
    </w:lvlOverride>
  </w:num>
  <w:num w:numId="4">
    <w:abstractNumId w:val="4"/>
    <w:lvlOverride w:ilvl="0">
      <w:startOverride w:val="3"/>
    </w:lvlOverride>
  </w:num>
  <w:num w:numId="5">
    <w:abstractNumId w:val="7"/>
    <w:lvlOverride w:ilvl="0">
      <w:startOverride w:val="7"/>
    </w:lvlOverride>
  </w:num>
  <w:num w:numId="6">
    <w:abstractNumId w:val="6"/>
    <w:lvlOverride w:ilvl="0">
      <w:startOverride w:val="1"/>
    </w:lvlOverride>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3"/>
    <w:basedOn w:val="747"/>
    <w:next w:val="747"/>
    <w:link w:val="808"/>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47"/>
    <w:next w:val="747"/>
    <w:link w:val="81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47"/>
    <w:next w:val="747"/>
    <w:link w:val="813"/>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47"/>
    <w:next w:val="747"/>
    <w:link w:val="815"/>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47"/>
    <w:next w:val="747"/>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47"/>
    <w:next w:val="747"/>
    <w:link w:val="819"/>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47"/>
    <w:next w:val="747"/>
    <w:link w:val="821"/>
    <w:uiPriority w:val="9"/>
    <w:unhideWhenUsed/>
    <w:qFormat/>
    <w:pPr>
      <w:keepLines/>
      <w:keepNext/>
      <w:spacing w:before="320" w:after="200"/>
      <w:outlineLvl w:val="8"/>
    </w:pPr>
    <w:rPr>
      <w:rFonts w:ascii="Arial" w:hAnsi="Arial" w:eastAsia="Arial" w:cs="Arial"/>
      <w:i/>
      <w:iCs/>
      <w:sz w:val="21"/>
      <w:szCs w:val="21"/>
    </w:rPr>
  </w:style>
  <w:style w:type="character" w:styleId="720">
    <w:name w:val="Title Char"/>
    <w:basedOn w:val="750"/>
    <w:link w:val="782"/>
    <w:uiPriority w:val="10"/>
    <w:rPr>
      <w:sz w:val="48"/>
      <w:szCs w:val="48"/>
    </w:rPr>
  </w:style>
  <w:style w:type="character" w:styleId="721">
    <w:name w:val="Subtitle Char"/>
    <w:basedOn w:val="750"/>
    <w:link w:val="775"/>
    <w:uiPriority w:val="11"/>
    <w:rPr>
      <w:sz w:val="24"/>
      <w:szCs w:val="24"/>
    </w:rPr>
  </w:style>
  <w:style w:type="character" w:styleId="722">
    <w:name w:val="Quote Char"/>
    <w:link w:val="823"/>
    <w:uiPriority w:val="29"/>
    <w:rPr>
      <w:i/>
    </w:rPr>
  </w:style>
  <w:style w:type="character" w:styleId="723">
    <w:name w:val="Intense Quote Char"/>
    <w:link w:val="825"/>
    <w:uiPriority w:val="30"/>
    <w:rPr>
      <w:i/>
    </w:rPr>
  </w:style>
  <w:style w:type="paragraph" w:styleId="724">
    <w:name w:val="Caption"/>
    <w:basedOn w:val="747"/>
    <w:next w:val="747"/>
    <w:uiPriority w:val="35"/>
    <w:semiHidden/>
    <w:unhideWhenUsed/>
    <w:qFormat/>
    <w:pPr>
      <w:spacing w:line="276" w:lineRule="auto"/>
    </w:pPr>
    <w:rPr>
      <w:b/>
      <w:bCs/>
      <w:color w:val="4f81bd" w:themeColor="accent1"/>
      <w:sz w:val="18"/>
      <w:szCs w:val="18"/>
    </w:rPr>
  </w:style>
  <w:style w:type="table" w:styleId="725">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Footnote Text Char"/>
    <w:link w:val="776"/>
    <w:uiPriority w:val="99"/>
    <w:rPr>
      <w:sz w:val="18"/>
    </w:rPr>
  </w:style>
  <w:style w:type="character" w:styleId="745">
    <w:name w:val="Endnote Text Char"/>
    <w:link w:val="769"/>
    <w:uiPriority w:val="99"/>
    <w:rPr>
      <w:sz w:val="20"/>
    </w:rPr>
  </w:style>
  <w:style w:type="paragraph" w:styleId="746">
    <w:name w:val="TOC Heading"/>
    <w:uiPriority w:val="39"/>
    <w:unhideWhenUsed/>
  </w:style>
  <w:style w:type="paragraph" w:styleId="747" w:default="1">
    <w:name w:val="Normal"/>
    <w:next w:val="753"/>
    <w:qFormat/>
    <w:pPr>
      <w:jc w:val="both"/>
      <w:widowControl w:val="off"/>
    </w:pPr>
    <w:rPr>
      <w:sz w:val="21"/>
      <w:szCs w:val="22"/>
    </w:rPr>
  </w:style>
  <w:style w:type="paragraph" w:styleId="748">
    <w:name w:val="Heading 1"/>
    <w:basedOn w:val="747"/>
    <w:next w:val="747"/>
    <w:link w:val="792"/>
    <w:qFormat/>
    <w:pPr>
      <w:jc w:val="center"/>
      <w:keepNext/>
      <w:widowControl/>
      <w:outlineLvl w:val="0"/>
    </w:pPr>
    <w:rPr>
      <w:rFonts w:ascii="楷体_GB2312" w:hAnsi="Times New Roman" w:eastAsia="楷体_GB2312" w:cs="宋体"/>
      <w:sz w:val="28"/>
      <w:szCs w:val="28"/>
    </w:rPr>
  </w:style>
  <w:style w:type="paragraph" w:styleId="749">
    <w:name w:val="Heading 2"/>
    <w:basedOn w:val="747"/>
    <w:next w:val="747"/>
    <w:link w:val="973"/>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paragraph" w:styleId="753" w:customStyle="1">
    <w:name w:val="正文首行缩进 21"/>
    <w:basedOn w:val="754"/>
    <w:next w:val="756"/>
    <w:uiPriority w:val="99"/>
    <w:qFormat/>
    <w:pPr>
      <w:ind w:firstLine="420"/>
      <w:spacing w:line="360" w:lineRule="auto"/>
    </w:pPr>
    <w:rPr>
      <w:rFonts w:ascii="宋体" w:hAnsi="宋体"/>
    </w:rPr>
  </w:style>
  <w:style w:type="paragraph" w:styleId="754" w:customStyle="1">
    <w:name w:val="正文文本缩进1"/>
    <w:basedOn w:val="747"/>
    <w:next w:val="755"/>
    <w:qFormat/>
    <w:pPr>
      <w:ind w:firstLine="645"/>
    </w:pPr>
    <w:rPr>
      <w:rFonts w:ascii="楷体_GB2312" w:eastAsia="楷体_GB2312"/>
      <w:sz w:val="32"/>
      <w:szCs w:val="20"/>
    </w:rPr>
  </w:style>
  <w:style w:type="paragraph" w:styleId="755" w:customStyle="1">
    <w:name w:val="寄信人地址1"/>
    <w:basedOn w:val="747"/>
    <w:uiPriority w:val="99"/>
    <w:unhideWhenUsed/>
    <w:qFormat/>
    <w:rPr>
      <w:rFonts w:ascii="Arial" w:hAnsi="Arial"/>
    </w:rPr>
  </w:style>
  <w:style w:type="paragraph" w:styleId="756" w:customStyle="1">
    <w:name w:val="正文缩进1"/>
    <w:basedOn w:val="747"/>
    <w:qFormat/>
    <w:pPr>
      <w:ind w:firstLine="420"/>
    </w:pPr>
  </w:style>
  <w:style w:type="paragraph" w:styleId="757">
    <w:name w:val="toc 7"/>
    <w:basedOn w:val="747"/>
    <w:next w:val="747"/>
    <w:uiPriority w:val="39"/>
    <w:unhideWhenUsed/>
    <w:qFormat/>
    <w:pPr>
      <w:ind w:left="1701"/>
      <w:spacing w:after="57"/>
    </w:pPr>
    <w:rPr>
      <w:rFonts w:ascii="Calibri" w:hAnsi="Calibri" w:eastAsia="宋体" w:cs="Times New Roman"/>
      <w:szCs w:val="24"/>
    </w:rPr>
  </w:style>
  <w:style w:type="paragraph" w:styleId="758">
    <w:name w:val="Normal Indent"/>
    <w:basedOn w:val="747"/>
    <w:qFormat/>
    <w:pPr>
      <w:ind w:firstLine="420"/>
    </w:pPr>
    <w:rPr>
      <w:rFonts w:ascii="Calibri" w:hAnsi="Calibri" w:eastAsia="宋体" w:cs="Times New Roman"/>
      <w:szCs w:val="24"/>
      <w:lang w:eastAsia="en-US"/>
    </w:rPr>
  </w:style>
  <w:style w:type="paragraph" w:styleId="759">
    <w:name w:val="annotation text"/>
    <w:basedOn w:val="747"/>
    <w:link w:val="793"/>
    <w:uiPriority w:val="99"/>
    <w:unhideWhenUsed/>
    <w:qFormat/>
    <w:pPr>
      <w:jc w:val="left"/>
    </w:pPr>
    <w:rPr>
      <w:rFonts w:ascii="Calibri" w:hAnsi="Calibri" w:eastAsia="宋体" w:cs="Times New Roman"/>
      <w:szCs w:val="24"/>
    </w:rPr>
  </w:style>
  <w:style w:type="paragraph" w:styleId="760">
    <w:name w:val="Body Text 3"/>
    <w:basedOn w:val="747"/>
    <w:link w:val="794"/>
    <w:qFormat/>
    <w:pPr>
      <w:spacing w:after="120"/>
    </w:pPr>
    <w:rPr>
      <w:rFonts w:ascii="Times New Roman" w:hAnsi="Times New Roman" w:eastAsia="宋体" w:cs="Times New Roman"/>
      <w:sz w:val="16"/>
      <w:szCs w:val="16"/>
    </w:rPr>
  </w:style>
  <w:style w:type="paragraph" w:styleId="761">
    <w:name w:val="Body Text"/>
    <w:basedOn w:val="747"/>
    <w:link w:val="968"/>
    <w:uiPriority w:val="99"/>
    <w:semiHidden/>
    <w:unhideWhenUsed/>
    <w:qFormat/>
    <w:pPr>
      <w:spacing w:after="120"/>
    </w:pPr>
    <w:rPr>
      <w:rFonts w:ascii="Calibri" w:hAnsi="Calibri" w:eastAsia="宋体" w:cs="Times New Roman"/>
      <w:szCs w:val="24"/>
    </w:rPr>
  </w:style>
  <w:style w:type="paragraph" w:styleId="762">
    <w:name w:val="Body Text Indent"/>
    <w:basedOn w:val="747"/>
    <w:next w:val="763"/>
    <w:link w:val="795"/>
    <w:qFormat/>
    <w:pPr>
      <w:ind w:firstLine="645"/>
    </w:pPr>
    <w:rPr>
      <w:rFonts w:ascii="楷体_GB2312" w:hAnsi="Calibri" w:eastAsia="楷体_GB2312" w:cs="Times New Roman"/>
      <w:sz w:val="32"/>
      <w:szCs w:val="32"/>
    </w:rPr>
  </w:style>
  <w:style w:type="paragraph" w:styleId="763">
    <w:name w:val="envelope return"/>
    <w:basedOn w:val="747"/>
    <w:qFormat/>
    <w:pPr>
      <w:jc w:val="left"/>
      <w:tabs>
        <w:tab w:val="left" w:pos="1630" w:leader="none"/>
      </w:tabs>
    </w:pPr>
    <w:rPr>
      <w:rFonts w:ascii="Arial" w:hAnsi="Arial" w:eastAsia="DFKai-SB" w:cs="Arial"/>
      <w:sz w:val="28"/>
      <w:szCs w:val="24"/>
      <w:lang w:eastAsia="zh-TW"/>
    </w:rPr>
  </w:style>
  <w:style w:type="paragraph" w:styleId="764">
    <w:name w:val="toc 5"/>
    <w:basedOn w:val="747"/>
    <w:next w:val="747"/>
    <w:uiPriority w:val="39"/>
    <w:unhideWhenUsed/>
    <w:qFormat/>
    <w:pPr>
      <w:ind w:left="1134"/>
      <w:spacing w:after="57"/>
    </w:pPr>
    <w:rPr>
      <w:rFonts w:ascii="Calibri" w:hAnsi="Calibri" w:eastAsia="宋体" w:cs="Times New Roman"/>
      <w:szCs w:val="24"/>
    </w:rPr>
  </w:style>
  <w:style w:type="paragraph" w:styleId="765">
    <w:name w:val="toc 3"/>
    <w:basedOn w:val="747"/>
    <w:next w:val="747"/>
    <w:uiPriority w:val="39"/>
    <w:unhideWhenUsed/>
    <w:qFormat/>
    <w:pPr>
      <w:ind w:left="567"/>
      <w:spacing w:after="57"/>
    </w:pPr>
    <w:rPr>
      <w:rFonts w:ascii="Calibri" w:hAnsi="Calibri" w:eastAsia="宋体" w:cs="Times New Roman"/>
      <w:szCs w:val="24"/>
    </w:rPr>
  </w:style>
  <w:style w:type="paragraph" w:styleId="766">
    <w:name w:val="Plain Text"/>
    <w:basedOn w:val="747"/>
    <w:next w:val="747"/>
    <w:link w:val="796"/>
    <w:qFormat/>
    <w:rPr>
      <w:rFonts w:hint="eastAsia" w:ascii="宋体" w:hAnsi="Courier New" w:eastAsia="宋体" w:cs="Times New Roman"/>
      <w:szCs w:val="20"/>
    </w:rPr>
  </w:style>
  <w:style w:type="paragraph" w:styleId="767">
    <w:name w:val="toc 8"/>
    <w:basedOn w:val="747"/>
    <w:next w:val="747"/>
    <w:uiPriority w:val="39"/>
    <w:unhideWhenUsed/>
    <w:qFormat/>
    <w:pPr>
      <w:ind w:left="1984"/>
      <w:spacing w:after="57"/>
    </w:pPr>
    <w:rPr>
      <w:rFonts w:ascii="Calibri" w:hAnsi="Calibri" w:eastAsia="宋体" w:cs="Times New Roman"/>
      <w:szCs w:val="24"/>
    </w:rPr>
  </w:style>
  <w:style w:type="paragraph" w:styleId="768">
    <w:name w:val="Date"/>
    <w:basedOn w:val="747"/>
    <w:next w:val="747"/>
    <w:link w:val="972"/>
    <w:uiPriority w:val="99"/>
    <w:semiHidden/>
    <w:unhideWhenUsed/>
    <w:qFormat/>
    <w:pPr>
      <w:ind w:left="100"/>
    </w:pPr>
  </w:style>
  <w:style w:type="paragraph" w:styleId="769">
    <w:name w:val="endnote text"/>
    <w:basedOn w:val="747"/>
    <w:link w:val="797"/>
    <w:uiPriority w:val="99"/>
    <w:unhideWhenUsed/>
    <w:qFormat/>
    <w:rPr>
      <w:rFonts w:ascii="Times New Roman" w:hAnsi="Times New Roman" w:eastAsia="宋体" w:cs="Times New Roman"/>
      <w:sz w:val="20"/>
      <w:szCs w:val="20"/>
      <w:lang w:val="zh-CN"/>
    </w:rPr>
  </w:style>
  <w:style w:type="paragraph" w:styleId="770">
    <w:name w:val="Balloon Text"/>
    <w:basedOn w:val="747"/>
    <w:link w:val="798"/>
    <w:uiPriority w:val="99"/>
    <w:unhideWhenUsed/>
    <w:qFormat/>
    <w:rPr>
      <w:rFonts w:ascii="Calibri" w:hAnsi="Calibri" w:eastAsia="宋体" w:cs="Times New Roman"/>
      <w:sz w:val="18"/>
      <w:szCs w:val="18"/>
    </w:rPr>
  </w:style>
  <w:style w:type="paragraph" w:styleId="771">
    <w:name w:val="Footer"/>
    <w:basedOn w:val="747"/>
    <w:link w:val="791"/>
    <w:uiPriority w:val="99"/>
    <w:unhideWhenUsed/>
    <w:qFormat/>
    <w:pPr>
      <w:jc w:val="left"/>
      <w:tabs>
        <w:tab w:val="center" w:pos="4153" w:leader="none"/>
        <w:tab w:val="right" w:pos="8306" w:leader="none"/>
      </w:tabs>
    </w:pPr>
    <w:rPr>
      <w:sz w:val="18"/>
      <w:szCs w:val="18"/>
    </w:rPr>
  </w:style>
  <w:style w:type="paragraph" w:styleId="772">
    <w:name w:val="Header"/>
    <w:basedOn w:val="747"/>
    <w:link w:val="79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3">
    <w:name w:val="toc 1"/>
    <w:basedOn w:val="747"/>
    <w:next w:val="747"/>
    <w:uiPriority w:val="39"/>
    <w:qFormat/>
    <w:pPr>
      <w:spacing w:before="120" w:after="120" w:line="400" w:lineRule="exact"/>
      <w:tabs>
        <w:tab w:val="right" w:pos="8720" w:leader="dot"/>
      </w:tabs>
    </w:pPr>
    <w:rPr>
      <w:rFonts w:ascii="宋体" w:hAnsi="宋体" w:eastAsia="宋体" w:cs="Times New Roman"/>
      <w:caps/>
      <w:sz w:val="24"/>
      <w:szCs w:val="24"/>
    </w:rPr>
  </w:style>
  <w:style w:type="paragraph" w:styleId="774">
    <w:name w:val="toc 4"/>
    <w:basedOn w:val="747"/>
    <w:next w:val="747"/>
    <w:uiPriority w:val="39"/>
    <w:unhideWhenUsed/>
    <w:qFormat/>
    <w:pPr>
      <w:ind w:left="850"/>
      <w:spacing w:after="57"/>
    </w:pPr>
    <w:rPr>
      <w:rFonts w:ascii="Calibri" w:hAnsi="Calibri" w:eastAsia="宋体" w:cs="Times New Roman"/>
      <w:szCs w:val="24"/>
    </w:rPr>
  </w:style>
  <w:style w:type="paragraph" w:styleId="775">
    <w:name w:val="Subtitle"/>
    <w:basedOn w:val="747"/>
    <w:next w:val="747"/>
    <w:link w:val="799"/>
    <w:uiPriority w:val="11"/>
    <w:qFormat/>
    <w:pPr>
      <w:spacing w:before="200" w:after="200"/>
    </w:pPr>
    <w:rPr>
      <w:rFonts w:ascii="Calibri" w:hAnsi="Calibri" w:eastAsia="宋体" w:cs="Times New Roman"/>
      <w:sz w:val="24"/>
      <w:szCs w:val="24"/>
    </w:rPr>
  </w:style>
  <w:style w:type="paragraph" w:styleId="776">
    <w:name w:val="footnote text"/>
    <w:basedOn w:val="747"/>
    <w:link w:val="800"/>
    <w:uiPriority w:val="99"/>
    <w:unhideWhenUsed/>
    <w:qFormat/>
    <w:pPr>
      <w:spacing w:after="40"/>
    </w:pPr>
    <w:rPr>
      <w:rFonts w:ascii="Times New Roman" w:hAnsi="Times New Roman" w:eastAsia="宋体" w:cs="Times New Roman"/>
      <w:sz w:val="18"/>
      <w:szCs w:val="20"/>
      <w:lang w:val="zh-CN"/>
    </w:rPr>
  </w:style>
  <w:style w:type="paragraph" w:styleId="777">
    <w:name w:val="toc 6"/>
    <w:basedOn w:val="747"/>
    <w:next w:val="747"/>
    <w:uiPriority w:val="39"/>
    <w:unhideWhenUsed/>
    <w:qFormat/>
    <w:pPr>
      <w:ind w:left="1417"/>
      <w:spacing w:after="57"/>
    </w:pPr>
    <w:rPr>
      <w:rFonts w:ascii="Calibri" w:hAnsi="Calibri" w:eastAsia="宋体" w:cs="Times New Roman"/>
      <w:szCs w:val="24"/>
    </w:rPr>
  </w:style>
  <w:style w:type="paragraph" w:styleId="778">
    <w:name w:val="table of figures"/>
    <w:basedOn w:val="747"/>
    <w:next w:val="747"/>
    <w:uiPriority w:val="99"/>
    <w:unhideWhenUsed/>
    <w:qFormat/>
    <w:rPr>
      <w:rFonts w:ascii="Calibri" w:hAnsi="Calibri" w:eastAsia="宋体" w:cs="Times New Roman"/>
      <w:szCs w:val="24"/>
    </w:rPr>
  </w:style>
  <w:style w:type="paragraph" w:styleId="779">
    <w:name w:val="toc 2"/>
    <w:basedOn w:val="747"/>
    <w:next w:val="747"/>
    <w:uiPriority w:val="39"/>
    <w:unhideWhenUsed/>
    <w:qFormat/>
    <w:pPr>
      <w:ind w:left="283"/>
      <w:spacing w:after="57"/>
    </w:pPr>
    <w:rPr>
      <w:rFonts w:ascii="Calibri" w:hAnsi="Calibri" w:eastAsia="宋体" w:cs="Times New Roman"/>
      <w:szCs w:val="24"/>
    </w:rPr>
  </w:style>
  <w:style w:type="paragraph" w:styleId="780">
    <w:name w:val="toc 9"/>
    <w:basedOn w:val="747"/>
    <w:next w:val="747"/>
    <w:uiPriority w:val="39"/>
    <w:unhideWhenUsed/>
    <w:qFormat/>
    <w:pPr>
      <w:ind w:left="2268"/>
      <w:spacing w:after="57"/>
    </w:pPr>
    <w:rPr>
      <w:rFonts w:ascii="Calibri" w:hAnsi="Calibri" w:eastAsia="宋体" w:cs="Times New Roman"/>
      <w:szCs w:val="24"/>
    </w:rPr>
  </w:style>
  <w:style w:type="paragraph" w:styleId="781">
    <w:name w:val="Normal (Web)"/>
    <w:basedOn w:val="747"/>
    <w:link w:val="967"/>
    <w:uiPriority w:val="99"/>
    <w:qFormat/>
    <w:pPr>
      <w:spacing w:before="100" w:beforeAutospacing="1" w:after="100" w:afterAutospacing="1"/>
    </w:pPr>
    <w:rPr>
      <w:rFonts w:ascii="宋体" w:hAnsi="宋体" w:eastAsia="宋体" w:cs="Times New Roman"/>
      <w:sz w:val="24"/>
      <w:szCs w:val="24"/>
      <w:lang w:val="zh-CN"/>
    </w:rPr>
  </w:style>
  <w:style w:type="paragraph" w:styleId="782">
    <w:name w:val="Title"/>
    <w:basedOn w:val="747"/>
    <w:next w:val="747"/>
    <w:link w:val="801"/>
    <w:uiPriority w:val="10"/>
    <w:qFormat/>
    <w:pPr>
      <w:contextualSpacing/>
      <w:spacing w:before="300" w:after="200"/>
    </w:pPr>
    <w:rPr>
      <w:rFonts w:ascii="Calibri" w:hAnsi="Calibri" w:eastAsia="宋体" w:cs="Times New Roman"/>
      <w:sz w:val="48"/>
      <w:szCs w:val="48"/>
    </w:rPr>
  </w:style>
  <w:style w:type="paragraph" w:styleId="783">
    <w:name w:val="Body Text First Indent"/>
    <w:basedOn w:val="761"/>
    <w:link w:val="969"/>
    <w:uiPriority w:val="99"/>
    <w:semiHidden/>
    <w:unhideWhenUsed/>
    <w:qFormat/>
    <w:pPr>
      <w:ind w:firstLine="420"/>
    </w:pPr>
  </w:style>
  <w:style w:type="paragraph" w:styleId="784">
    <w:name w:val="Body Text First Indent 2"/>
    <w:basedOn w:val="762"/>
    <w:link w:val="802"/>
    <w:qFormat/>
    <w:pPr>
      <w:ind w:firstLine="420"/>
      <w:spacing w:line="360" w:lineRule="auto"/>
    </w:pPr>
    <w:rPr>
      <w:rFonts w:ascii="宋体" w:hAnsi="宋体" w:eastAsia="宋体"/>
      <w:sz w:val="21"/>
      <w:szCs w:val="20"/>
    </w:rPr>
  </w:style>
  <w:style w:type="table" w:styleId="785">
    <w:name w:val="Table Grid"/>
    <w:basedOn w:val="751"/>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endnote reference"/>
    <w:uiPriority w:val="99"/>
    <w:unhideWhenUsed/>
    <w:qFormat/>
    <w:rPr>
      <w:vertAlign w:val="superscript"/>
    </w:rPr>
  </w:style>
  <w:style w:type="character" w:styleId="787">
    <w:name w:val="page number"/>
    <w:uiPriority w:val="99"/>
    <w:qFormat/>
    <w:rPr>
      <w:rFonts w:cs="Times New Roman"/>
    </w:rPr>
  </w:style>
  <w:style w:type="character" w:styleId="788">
    <w:name w:val="Hyperlink"/>
    <w:uiPriority w:val="99"/>
    <w:unhideWhenUsed/>
    <w:qFormat/>
    <w:rPr>
      <w:color w:val="0563c1"/>
      <w:u w:val="single"/>
    </w:rPr>
  </w:style>
  <w:style w:type="character" w:styleId="789">
    <w:name w:val="footnote reference"/>
    <w:uiPriority w:val="99"/>
    <w:unhideWhenUsed/>
    <w:qFormat/>
    <w:rPr>
      <w:vertAlign w:val="superscript"/>
    </w:rPr>
  </w:style>
  <w:style w:type="character" w:styleId="790" w:customStyle="1">
    <w:name w:val="页眉 Char"/>
    <w:basedOn w:val="750"/>
    <w:link w:val="772"/>
    <w:uiPriority w:val="99"/>
    <w:qFormat/>
    <w:rPr>
      <w:sz w:val="18"/>
      <w:szCs w:val="18"/>
    </w:rPr>
  </w:style>
  <w:style w:type="character" w:styleId="791" w:customStyle="1">
    <w:name w:val="页脚 Char"/>
    <w:basedOn w:val="750"/>
    <w:link w:val="771"/>
    <w:uiPriority w:val="99"/>
    <w:rPr>
      <w:sz w:val="18"/>
      <w:szCs w:val="18"/>
    </w:rPr>
  </w:style>
  <w:style w:type="character" w:styleId="792" w:customStyle="1">
    <w:name w:val="标题 1 Char"/>
    <w:basedOn w:val="750"/>
    <w:link w:val="748"/>
    <w:qFormat/>
    <w:rPr>
      <w:rFonts w:ascii="楷体_GB2312" w:hAnsi="Times New Roman" w:eastAsia="楷体_GB2312" w:cs="宋体"/>
      <w:sz w:val="28"/>
      <w:szCs w:val="28"/>
    </w:rPr>
  </w:style>
  <w:style w:type="character" w:styleId="793" w:customStyle="1">
    <w:name w:val="批注文字 Char"/>
    <w:basedOn w:val="750"/>
    <w:link w:val="759"/>
    <w:uiPriority w:val="99"/>
    <w:qFormat/>
    <w:rPr>
      <w:rFonts w:ascii="Calibri" w:hAnsi="Calibri" w:eastAsia="宋体" w:cs="Times New Roman"/>
      <w:szCs w:val="24"/>
    </w:rPr>
  </w:style>
  <w:style w:type="character" w:styleId="794" w:customStyle="1">
    <w:name w:val="正文文本 3 Char"/>
    <w:basedOn w:val="750"/>
    <w:link w:val="760"/>
    <w:qFormat/>
    <w:rPr>
      <w:rFonts w:ascii="Times New Roman" w:hAnsi="Times New Roman" w:eastAsia="宋体" w:cs="Times New Roman"/>
      <w:sz w:val="16"/>
      <w:szCs w:val="16"/>
    </w:rPr>
  </w:style>
  <w:style w:type="character" w:styleId="795" w:customStyle="1">
    <w:name w:val="正文文本缩进 Char"/>
    <w:basedOn w:val="750"/>
    <w:link w:val="762"/>
    <w:qFormat/>
    <w:rPr>
      <w:rFonts w:ascii="楷体_GB2312" w:hAnsi="Calibri" w:eastAsia="楷体_GB2312" w:cs="Times New Roman"/>
      <w:sz w:val="32"/>
      <w:szCs w:val="32"/>
    </w:rPr>
  </w:style>
  <w:style w:type="character" w:styleId="796" w:customStyle="1">
    <w:name w:val="纯文本 Char"/>
    <w:basedOn w:val="750"/>
    <w:link w:val="766"/>
    <w:qFormat/>
    <w:rPr>
      <w:rFonts w:ascii="宋体" w:hAnsi="Courier New" w:eastAsia="宋体" w:cs="Times New Roman"/>
      <w:szCs w:val="20"/>
    </w:rPr>
  </w:style>
  <w:style w:type="character" w:styleId="797" w:customStyle="1">
    <w:name w:val="尾注文本 Char"/>
    <w:basedOn w:val="750"/>
    <w:link w:val="769"/>
    <w:uiPriority w:val="99"/>
    <w:qFormat/>
    <w:rPr>
      <w:rFonts w:ascii="Times New Roman" w:hAnsi="Times New Roman" w:eastAsia="宋体" w:cs="Times New Roman"/>
      <w:sz w:val="20"/>
      <w:szCs w:val="20"/>
      <w:lang w:val="zh-CN" w:eastAsia="zh-CN"/>
    </w:rPr>
  </w:style>
  <w:style w:type="character" w:styleId="798" w:customStyle="1">
    <w:name w:val="批注框文本 Char"/>
    <w:basedOn w:val="750"/>
    <w:link w:val="770"/>
    <w:uiPriority w:val="99"/>
    <w:qFormat/>
    <w:rPr>
      <w:rFonts w:ascii="Calibri" w:hAnsi="Calibri" w:eastAsia="宋体" w:cs="Times New Roman"/>
      <w:sz w:val="18"/>
      <w:szCs w:val="18"/>
    </w:rPr>
  </w:style>
  <w:style w:type="character" w:styleId="799" w:customStyle="1">
    <w:name w:val="副标题 Char"/>
    <w:basedOn w:val="750"/>
    <w:link w:val="775"/>
    <w:uiPriority w:val="11"/>
    <w:qFormat/>
    <w:rPr>
      <w:rFonts w:ascii="Calibri" w:hAnsi="Calibri" w:eastAsia="宋体" w:cs="Times New Roman"/>
      <w:sz w:val="24"/>
      <w:szCs w:val="24"/>
    </w:rPr>
  </w:style>
  <w:style w:type="character" w:styleId="800" w:customStyle="1">
    <w:name w:val="脚注文本 Char"/>
    <w:basedOn w:val="750"/>
    <w:link w:val="776"/>
    <w:uiPriority w:val="99"/>
    <w:qFormat/>
    <w:rPr>
      <w:rFonts w:ascii="Times New Roman" w:hAnsi="Times New Roman" w:eastAsia="宋体" w:cs="Times New Roman"/>
      <w:sz w:val="18"/>
      <w:szCs w:val="20"/>
      <w:lang w:val="zh-CN" w:eastAsia="zh-CN"/>
    </w:rPr>
  </w:style>
  <w:style w:type="character" w:styleId="801" w:customStyle="1">
    <w:name w:val="标题 Char"/>
    <w:basedOn w:val="750"/>
    <w:link w:val="782"/>
    <w:uiPriority w:val="10"/>
    <w:qFormat/>
    <w:rPr>
      <w:rFonts w:ascii="Calibri" w:hAnsi="Calibri" w:eastAsia="宋体" w:cs="Times New Roman"/>
      <w:sz w:val="48"/>
      <w:szCs w:val="48"/>
    </w:rPr>
  </w:style>
  <w:style w:type="character" w:styleId="802" w:customStyle="1">
    <w:name w:val="正文首行缩进 2 Char"/>
    <w:basedOn w:val="795"/>
    <w:link w:val="784"/>
    <w:qFormat/>
    <w:rPr>
      <w:rFonts w:ascii="宋体" w:hAnsi="宋体" w:eastAsia="宋体" w:cs="Times New Roman"/>
      <w:sz w:val="32"/>
      <w:szCs w:val="20"/>
    </w:rPr>
  </w:style>
  <w:style w:type="paragraph" w:styleId="803" w:customStyle="1">
    <w:name w:val="目录 11"/>
    <w:basedOn w:val="747"/>
    <w:next w:val="747"/>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804" w:customStyle="1">
    <w:name w:val="Heading 1 Char"/>
    <w:link w:val="805"/>
    <w:uiPriority w:val="9"/>
    <w:qFormat/>
    <w:rPr>
      <w:rFonts w:ascii="Arial" w:hAnsi="Arial" w:eastAsia="Arial" w:cs="Arial"/>
      <w:sz w:val="40"/>
      <w:szCs w:val="40"/>
    </w:rPr>
  </w:style>
  <w:style w:type="paragraph" w:styleId="805" w:customStyle="1">
    <w:name w:val="标题 11"/>
    <w:basedOn w:val="747"/>
    <w:next w:val="747"/>
    <w:link w:val="804"/>
    <w:uiPriority w:val="9"/>
    <w:qFormat/>
    <w:pPr>
      <w:jc w:val="center"/>
      <w:keepNext/>
      <w:outlineLvl w:val="0"/>
    </w:pPr>
    <w:rPr>
      <w:rFonts w:ascii="Arial" w:hAnsi="Arial" w:eastAsia="Arial" w:cs="Arial"/>
      <w:sz w:val="40"/>
      <w:szCs w:val="40"/>
    </w:rPr>
  </w:style>
  <w:style w:type="character" w:styleId="806" w:customStyle="1">
    <w:name w:val="Heading 2 Char"/>
    <w:link w:val="807"/>
    <w:uiPriority w:val="9"/>
    <w:qFormat/>
    <w:rPr>
      <w:rFonts w:ascii="Arial" w:hAnsi="Arial" w:eastAsia="Arial" w:cs="Arial"/>
      <w:sz w:val="34"/>
    </w:rPr>
  </w:style>
  <w:style w:type="paragraph" w:styleId="807" w:customStyle="1">
    <w:name w:val="标题 21"/>
    <w:basedOn w:val="747"/>
    <w:next w:val="758"/>
    <w:link w:val="806"/>
    <w:uiPriority w:val="9"/>
    <w:qFormat/>
    <w:pPr>
      <w:jc w:val="center"/>
      <w:keepLines/>
      <w:keepNext/>
      <w:spacing w:before="260" w:after="260" w:line="416" w:lineRule="auto"/>
      <w:outlineLvl w:val="1"/>
    </w:pPr>
    <w:rPr>
      <w:rFonts w:ascii="Arial" w:hAnsi="Arial" w:eastAsia="Arial" w:cs="Arial"/>
      <w:sz w:val="34"/>
    </w:rPr>
  </w:style>
  <w:style w:type="character" w:styleId="808" w:customStyle="1">
    <w:name w:val="Heading 3 Char"/>
    <w:link w:val="809"/>
    <w:uiPriority w:val="9"/>
    <w:qFormat/>
    <w:rPr>
      <w:rFonts w:ascii="Arial" w:hAnsi="Arial" w:eastAsia="Arial" w:cs="Arial"/>
      <w:sz w:val="30"/>
      <w:szCs w:val="30"/>
    </w:rPr>
  </w:style>
  <w:style w:type="paragraph" w:styleId="809" w:customStyle="1">
    <w:name w:val="标题 31"/>
    <w:basedOn w:val="747"/>
    <w:next w:val="747"/>
    <w:link w:val="808"/>
    <w:uiPriority w:val="9"/>
    <w:qFormat/>
    <w:pPr>
      <w:keepLines/>
      <w:keepNext/>
      <w:spacing w:before="260" w:after="260" w:line="416" w:lineRule="auto"/>
      <w:outlineLvl w:val="2"/>
    </w:pPr>
    <w:rPr>
      <w:rFonts w:ascii="Arial" w:hAnsi="Arial" w:eastAsia="Arial" w:cs="Arial"/>
      <w:sz w:val="30"/>
      <w:szCs w:val="30"/>
    </w:rPr>
  </w:style>
  <w:style w:type="character" w:styleId="810" w:customStyle="1">
    <w:name w:val="Heading 4 Char"/>
    <w:link w:val="811"/>
    <w:uiPriority w:val="9"/>
    <w:qFormat/>
    <w:rPr>
      <w:rFonts w:ascii="Arial" w:hAnsi="Arial" w:eastAsia="Arial" w:cs="Arial"/>
      <w:b/>
      <w:bCs/>
      <w:sz w:val="26"/>
      <w:szCs w:val="26"/>
    </w:rPr>
  </w:style>
  <w:style w:type="paragraph" w:styleId="811" w:customStyle="1">
    <w:name w:val="标题 41"/>
    <w:basedOn w:val="747"/>
    <w:next w:val="758"/>
    <w:link w:val="810"/>
    <w:uiPriority w:val="9"/>
    <w:qFormat/>
    <w:pPr>
      <w:keepLines/>
      <w:keepNext/>
      <w:spacing w:before="280" w:after="290" w:line="376" w:lineRule="auto"/>
      <w:outlineLvl w:val="3"/>
    </w:pPr>
    <w:rPr>
      <w:rFonts w:ascii="Arial" w:hAnsi="Arial" w:eastAsia="Arial" w:cs="Arial"/>
      <w:b/>
      <w:bCs/>
      <w:sz w:val="26"/>
      <w:szCs w:val="26"/>
    </w:rPr>
  </w:style>
  <w:style w:type="paragraph" w:styleId="812" w:customStyle="1">
    <w:name w:val="标题 51"/>
    <w:basedOn w:val="747"/>
    <w:next w:val="747"/>
    <w:link w:val="813"/>
    <w:uiPriority w:val="9"/>
    <w:unhideWhenUsed/>
    <w:qFormat/>
    <w:pPr>
      <w:keepLines/>
      <w:keepNext/>
      <w:spacing w:before="320" w:after="200"/>
      <w:outlineLvl w:val="4"/>
    </w:pPr>
    <w:rPr>
      <w:rFonts w:ascii="Arial" w:hAnsi="Arial" w:eastAsia="Arial" w:cs="Arial"/>
      <w:b/>
      <w:bCs/>
      <w:sz w:val="24"/>
      <w:szCs w:val="24"/>
    </w:rPr>
  </w:style>
  <w:style w:type="character" w:styleId="813" w:customStyle="1">
    <w:name w:val="Heading 5 Char"/>
    <w:link w:val="812"/>
    <w:uiPriority w:val="9"/>
    <w:qFormat/>
    <w:rPr>
      <w:rFonts w:ascii="Arial" w:hAnsi="Arial" w:eastAsia="Arial" w:cs="Arial"/>
      <w:b/>
      <w:bCs/>
      <w:sz w:val="24"/>
      <w:szCs w:val="24"/>
    </w:rPr>
  </w:style>
  <w:style w:type="paragraph" w:styleId="814" w:customStyle="1">
    <w:name w:val="标题 61"/>
    <w:basedOn w:val="747"/>
    <w:next w:val="747"/>
    <w:link w:val="815"/>
    <w:uiPriority w:val="9"/>
    <w:unhideWhenUsed/>
    <w:qFormat/>
    <w:pPr>
      <w:keepLines/>
      <w:keepNext/>
      <w:spacing w:before="320" w:after="200"/>
      <w:outlineLvl w:val="5"/>
    </w:pPr>
    <w:rPr>
      <w:rFonts w:ascii="Arial" w:hAnsi="Arial" w:eastAsia="Arial" w:cs="Arial"/>
      <w:b/>
      <w:bCs/>
      <w:sz w:val="22"/>
    </w:rPr>
  </w:style>
  <w:style w:type="character" w:styleId="815" w:customStyle="1">
    <w:name w:val="Heading 6 Char"/>
    <w:link w:val="814"/>
    <w:uiPriority w:val="9"/>
    <w:qFormat/>
    <w:rPr>
      <w:rFonts w:ascii="Arial" w:hAnsi="Arial" w:eastAsia="Arial" w:cs="Arial"/>
      <w:b/>
      <w:bCs/>
      <w:sz w:val="22"/>
    </w:rPr>
  </w:style>
  <w:style w:type="paragraph" w:styleId="816" w:customStyle="1">
    <w:name w:val="标题 71"/>
    <w:basedOn w:val="747"/>
    <w:next w:val="747"/>
    <w:link w:val="817"/>
    <w:uiPriority w:val="9"/>
    <w:unhideWhenUsed/>
    <w:qFormat/>
    <w:pPr>
      <w:keepLines/>
      <w:keepNext/>
      <w:spacing w:before="320" w:after="200"/>
      <w:outlineLvl w:val="6"/>
    </w:pPr>
    <w:rPr>
      <w:rFonts w:ascii="Arial" w:hAnsi="Arial" w:eastAsia="Arial" w:cs="Arial"/>
      <w:b/>
      <w:bCs/>
      <w:i/>
      <w:iCs/>
      <w:sz w:val="22"/>
    </w:rPr>
  </w:style>
  <w:style w:type="character" w:styleId="817" w:customStyle="1">
    <w:name w:val="Heading 7 Char"/>
    <w:link w:val="816"/>
    <w:uiPriority w:val="9"/>
    <w:qFormat/>
    <w:rPr>
      <w:rFonts w:ascii="Arial" w:hAnsi="Arial" w:eastAsia="Arial" w:cs="Arial"/>
      <w:b/>
      <w:bCs/>
      <w:i/>
      <w:iCs/>
      <w:sz w:val="22"/>
    </w:rPr>
  </w:style>
  <w:style w:type="paragraph" w:styleId="818" w:customStyle="1">
    <w:name w:val="标题 81"/>
    <w:basedOn w:val="747"/>
    <w:next w:val="747"/>
    <w:link w:val="819"/>
    <w:uiPriority w:val="9"/>
    <w:unhideWhenUsed/>
    <w:qFormat/>
    <w:pPr>
      <w:keepLines/>
      <w:keepNext/>
      <w:spacing w:before="320" w:after="200"/>
      <w:outlineLvl w:val="7"/>
    </w:pPr>
    <w:rPr>
      <w:rFonts w:ascii="Arial" w:hAnsi="Arial" w:eastAsia="Arial" w:cs="Arial"/>
      <w:i/>
      <w:iCs/>
      <w:sz w:val="22"/>
    </w:rPr>
  </w:style>
  <w:style w:type="character" w:styleId="819" w:customStyle="1">
    <w:name w:val="Heading 8 Char"/>
    <w:link w:val="818"/>
    <w:uiPriority w:val="9"/>
    <w:qFormat/>
    <w:rPr>
      <w:rFonts w:ascii="Arial" w:hAnsi="Arial" w:eastAsia="Arial" w:cs="Arial"/>
      <w:i/>
      <w:iCs/>
      <w:sz w:val="22"/>
    </w:rPr>
  </w:style>
  <w:style w:type="paragraph" w:styleId="820" w:customStyle="1">
    <w:name w:val="标题 91"/>
    <w:basedOn w:val="747"/>
    <w:next w:val="747"/>
    <w:link w:val="821"/>
    <w:uiPriority w:val="9"/>
    <w:unhideWhenUsed/>
    <w:qFormat/>
    <w:pPr>
      <w:keepLines/>
      <w:keepNext/>
      <w:spacing w:before="320" w:after="200"/>
      <w:outlineLvl w:val="8"/>
    </w:pPr>
    <w:rPr>
      <w:rFonts w:ascii="Arial" w:hAnsi="Arial" w:eastAsia="Arial" w:cs="Arial"/>
      <w:i/>
      <w:iCs/>
      <w:szCs w:val="21"/>
    </w:rPr>
  </w:style>
  <w:style w:type="character" w:styleId="821" w:customStyle="1">
    <w:name w:val="Heading 9 Char"/>
    <w:link w:val="820"/>
    <w:uiPriority w:val="9"/>
    <w:qFormat/>
    <w:rPr>
      <w:rFonts w:ascii="Arial" w:hAnsi="Arial" w:eastAsia="Arial" w:cs="Arial"/>
      <w:i/>
      <w:iCs/>
      <w:szCs w:val="21"/>
    </w:rPr>
  </w:style>
  <w:style w:type="paragraph" w:styleId="822">
    <w:name w:val="No Spacing"/>
    <w:uiPriority w:val="1"/>
    <w:qFormat/>
    <w:rPr>
      <w:rFonts w:ascii="Times New Roman" w:hAnsi="Times New Roman" w:eastAsia="宋体" w:cs="Times New Roman"/>
    </w:rPr>
  </w:style>
  <w:style w:type="paragraph" w:styleId="823">
    <w:name w:val="Quote"/>
    <w:basedOn w:val="747"/>
    <w:next w:val="747"/>
    <w:link w:val="824"/>
    <w:uiPriority w:val="29"/>
    <w:qFormat/>
    <w:pPr>
      <w:ind w:left="720" w:right="720"/>
    </w:pPr>
    <w:rPr>
      <w:rFonts w:ascii="Times New Roman" w:hAnsi="Times New Roman" w:eastAsia="宋体" w:cs="Times New Roman"/>
      <w:i/>
      <w:sz w:val="20"/>
      <w:szCs w:val="20"/>
      <w:lang w:val="zh-CN"/>
    </w:rPr>
  </w:style>
  <w:style w:type="character" w:styleId="824" w:customStyle="1">
    <w:name w:val="引用 Char"/>
    <w:basedOn w:val="750"/>
    <w:link w:val="823"/>
    <w:uiPriority w:val="29"/>
    <w:qFormat/>
    <w:rPr>
      <w:rFonts w:ascii="Times New Roman" w:hAnsi="Times New Roman" w:eastAsia="宋体" w:cs="Times New Roman"/>
      <w:i/>
      <w:sz w:val="20"/>
      <w:szCs w:val="20"/>
      <w:lang w:val="zh-CN" w:eastAsia="zh-CN"/>
    </w:rPr>
  </w:style>
  <w:style w:type="paragraph" w:styleId="825">
    <w:name w:val="Intense Quote"/>
    <w:basedOn w:val="747"/>
    <w:next w:val="747"/>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lang w:val="zh-CN"/>
    </w:rPr>
  </w:style>
  <w:style w:type="character" w:styleId="826" w:customStyle="1">
    <w:name w:val="明显引用 Char"/>
    <w:basedOn w:val="750"/>
    <w:link w:val="825"/>
    <w:uiPriority w:val="30"/>
    <w:qFormat/>
    <w:rPr>
      <w:rFonts w:ascii="Times New Roman" w:hAnsi="Times New Roman" w:eastAsia="宋体" w:cs="Times New Roman"/>
      <w:i/>
      <w:sz w:val="20"/>
      <w:szCs w:val="20"/>
      <w:shd w:val="clear" w:color="auto" w:fill="f2f2f2"/>
      <w:lang w:val="zh-CN" w:eastAsia="zh-CN"/>
    </w:rPr>
  </w:style>
  <w:style w:type="character" w:styleId="827" w:customStyle="1">
    <w:name w:val="Header Char"/>
    <w:link w:val="828"/>
    <w:uiPriority w:val="99"/>
    <w:qFormat/>
  </w:style>
  <w:style w:type="paragraph" w:styleId="828" w:customStyle="1">
    <w:name w:val="页眉1"/>
    <w:basedOn w:val="747"/>
    <w:link w:val="827"/>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style>
  <w:style w:type="character" w:styleId="829" w:customStyle="1">
    <w:name w:val="Footer Char"/>
    <w:uiPriority w:val="99"/>
    <w:qFormat/>
  </w:style>
  <w:style w:type="paragraph" w:styleId="830" w:customStyle="1">
    <w:name w:val="题注1"/>
    <w:basedOn w:val="747"/>
    <w:next w:val="747"/>
    <w:uiPriority w:val="35"/>
    <w:unhideWhenUsed/>
    <w:qFormat/>
    <w:pPr>
      <w:spacing w:line="276" w:lineRule="auto"/>
    </w:pPr>
    <w:rPr>
      <w:rFonts w:ascii="Calibri" w:hAnsi="Calibri" w:eastAsia="宋体" w:cs="Times New Roman"/>
      <w:b/>
      <w:bCs/>
      <w:color w:val="5b9bd5"/>
      <w:sz w:val="18"/>
      <w:szCs w:val="18"/>
    </w:rPr>
  </w:style>
  <w:style w:type="character" w:styleId="831" w:customStyle="1">
    <w:name w:val="Caption Char"/>
    <w:link w:val="832"/>
    <w:uiPriority w:val="99"/>
    <w:semiHidden/>
    <w:qFormat/>
  </w:style>
  <w:style w:type="paragraph" w:styleId="832" w:customStyle="1">
    <w:name w:val="页脚1"/>
    <w:basedOn w:val="747"/>
    <w:link w:val="831"/>
    <w:uiPriority w:val="99"/>
    <w:semiHidden/>
    <w:qFormat/>
    <w:pPr>
      <w:jc w:val="left"/>
      <w:tabs>
        <w:tab w:val="center" w:pos="4153" w:leader="none"/>
        <w:tab w:val="right" w:pos="8306" w:leader="none"/>
      </w:tabs>
    </w:pPr>
  </w:style>
  <w:style w:type="table" w:styleId="833" w:customStyle="1">
    <w:name w:val="Table Grid Light"/>
    <w:basedOn w:val="75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34" w:customStyle="1">
    <w:name w:val="无格式表格 11"/>
    <w:basedOn w:val="75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Helvetica" w:hAnsi="Helvetica"/>
        <w:b/>
        <w:color w:val="404040"/>
        <w:sz w:val="22"/>
      </w:rPr>
    </w:tblStylePr>
    <w:tblStylePr w:type="firstRow">
      <w:rPr>
        <w:rFonts w:ascii="Helvetica" w:hAnsi="Helvetica"/>
        <w:b/>
        <w:color w:val="404040"/>
        <w:sz w:val="22"/>
      </w:r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835" w:customStyle="1">
    <w:name w:val="无格式表格 21"/>
    <w:basedOn w:val="751"/>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836" w:customStyle="1">
    <w:name w:val="无格式表格 31"/>
    <w:basedOn w:val="751"/>
    <w:uiPriority w:val="99"/>
    <w:qFormat/>
    <w:rPr>
      <w:rFonts w:ascii="Times New Roman" w:hAnsi="Times New Roman" w:eastAsia="宋体" w:cs="Times New Roman"/>
    </w:rP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51"/>
    <w:uiPriority w:val="99"/>
    <w:qFormat/>
    <w:rPr>
      <w:rFonts w:ascii="Times New Roman" w:hAnsi="Times New Roman" w:eastAsia="宋体" w:cs="Times New Roman"/>
    </w:rP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51"/>
    <w:uiPriority w:val="99"/>
    <w:qFormat/>
    <w:rPr>
      <w:rFonts w:ascii="Times New Roman" w:hAnsi="Times New Roman" w:eastAsia="宋体" w:cs="Times New Roman"/>
    </w:rP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网格表 1 浅色1"/>
    <w:basedOn w:val="751"/>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Helvetica" w:hAnsi="Helvetica"/>
        <w:color w:val="404040"/>
        <w:sz w:val="22"/>
      </w:rPr>
      <w:tcPr>
        <w:tcBorders>
          <w:top w:val="single" w:color="989898" w:sz="4" w:space="0"/>
          <w:left w:val="single" w:color="989898" w:sz="4" w:space="0"/>
          <w:bottom w:val="single" w:color="989898" w:sz="4" w:space="0"/>
          <w:right w:val="single" w:color="98989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0" w:customStyle="1">
    <w:name w:val="Grid Table 1 Light - Accent 1"/>
    <w:basedOn w:val="751"/>
    <w:uiPriority w:val="99"/>
    <w:qFormat/>
    <w:rPr>
      <w:rFonts w:ascii="Times New Roman" w:hAnsi="Times New Roman"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Helvetica" w:hAnsi="Helvetica"/>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E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1" w:customStyle="1">
    <w:name w:val="Grid Table 1 Light - Accent 2"/>
    <w:basedOn w:val="751"/>
    <w:uiPriority w:val="99"/>
    <w:qFormat/>
    <w:rPr>
      <w:rFonts w:ascii="Times New Roman" w:hAnsi="Times New Roman"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Helvetica" w:hAnsi="Helvetica"/>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2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2" w:customStyle="1">
    <w:name w:val="Grid Table 1 Light - Accent 3"/>
    <w:basedOn w:val="751"/>
    <w:uiPriority w:val="99"/>
    <w:qFormat/>
    <w:rPr>
      <w:rFonts w:ascii="Times New Roman" w:hAnsi="Times New Roman"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Helvetica" w:hAnsi="Helvetica"/>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3" w:customStyle="1">
    <w:name w:val="Grid Table 1 Light - Accent 4"/>
    <w:basedOn w:val="751"/>
    <w:uiPriority w:val="99"/>
    <w:qFormat/>
    <w:rPr>
      <w:rFonts w:ascii="Times New Roman" w:hAnsi="Times New Roman" w:eastAsia="宋体" w:cs="Times New Roman"/>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Helvetica" w:hAnsi="Helvetica"/>
        <w:color w:val="404040"/>
        <w:sz w:val="22"/>
      </w:rPr>
      <w:tcPr>
        <w:tcBorders>
          <w:top w:val="single" w:color="FFE598" w:sz="4" w:space="0"/>
          <w:left w:val="single" w:color="FFE598" w:sz="4" w:space="0"/>
          <w:bottom w:val="single" w:color="FFE598" w:sz="4" w:space="0"/>
          <w:right w:val="single" w:color="FFE59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4" w:customStyle="1">
    <w:name w:val="Grid Table 1 Light - Accent 5"/>
    <w:basedOn w:val="751"/>
    <w:uiPriority w:val="99"/>
    <w:qFormat/>
    <w:rPr>
      <w:rFonts w:ascii="Times New Roman" w:hAnsi="Times New Roman" w:eastAsia="宋体" w:cs="Times New Roman"/>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Helvetica" w:hAnsi="Helvetica"/>
        <w:color w:val="404040"/>
        <w:sz w:val="22"/>
      </w:rPr>
      <w:tcPr>
        <w:tcBorders>
          <w:top w:val="single" w:color="B3C5E7" w:sz="4" w:space="0"/>
          <w:left w:val="single" w:color="B3C5E7" w:sz="4" w:space="0"/>
          <w:bottom w:val="single" w:color="B3C5E7" w:sz="4" w:space="0"/>
          <w:right w:val="single" w:color="B3C5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5" w:customStyle="1">
    <w:name w:val="Grid Table 1 Light - Accent 6"/>
    <w:basedOn w:val="751"/>
    <w:uiPriority w:val="99"/>
    <w:qFormat/>
    <w:rPr>
      <w:rFonts w:ascii="Times New Roman" w:hAnsi="Times New Roman"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Helvetica" w:hAnsi="Helvetica"/>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6" w:customStyle="1">
    <w:name w:val="网格表 21"/>
    <w:basedOn w:val="75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2 - Accent 1"/>
    <w:basedOn w:val="751"/>
    <w:uiPriority w:val="99"/>
    <w:qFormat/>
    <w:rPr>
      <w:rFonts w:ascii="Times New Roman" w:hAnsi="Times New Roman" w:eastAsia="宋体" w:cs="Times New Roman"/>
    </w:rPr>
    <w:tblPr>
      <w:tblBorders>
        <w:bottom w:val="single" w:color="68A2D8" w:sz="4" w:space="0"/>
        <w:insideH w:val="single" w:color="68A2D8" w:sz="4" w:space="0"/>
        <w:insideV w:val="single" w:color="68A2D8" w:sz="4" w:space="0"/>
      </w:tblBorders>
    </w:tblPr>
    <w:tblStylePr w:type="band1Horz">
      <w:rPr>
        <w:rFonts w:ascii="Helvetica" w:hAnsi="Helvetica"/>
        <w:color w:val="404040"/>
        <w:sz w:val="22"/>
      </w:rPr>
      <w:tcPr>
        <w:shd w:val="clear" w:color="ddeaf6" w:fill="ddeaf6"/>
      </w:tcPr>
    </w:tblStylePr>
    <w:tblStylePr w:type="band1Vert">
      <w:rPr>
        <w:rFonts w:ascii="Helvetica" w:hAnsi="Helvetica"/>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2 - Accent 2"/>
    <w:basedOn w:val="751"/>
    <w:uiPriority w:val="99"/>
    <w:qFormat/>
    <w:rPr>
      <w:rFonts w:ascii="Times New Roman" w:hAnsi="Times New Roman" w:eastAsia="宋体" w:cs="Times New Roman"/>
    </w:rPr>
    <w:tblPr>
      <w:tblBorders>
        <w:bottom w:val="single" w:color="F4B184" w:sz="4" w:space="0"/>
        <w:insideH w:val="single" w:color="F4B184" w:sz="4" w:space="0"/>
        <w:insideV w:val="single" w:color="F4B184" w:sz="4" w:space="0"/>
      </w:tblBorders>
    </w:tblPr>
    <w:tblStylePr w:type="band1Horz">
      <w:rPr>
        <w:rFonts w:ascii="Helvetica" w:hAnsi="Helvetica"/>
        <w:color w:val="404040"/>
        <w:sz w:val="22"/>
      </w:rPr>
      <w:tcPr>
        <w:shd w:val="clear" w:color="fbe5d6" w:fill="fbe5d6"/>
      </w:tcPr>
    </w:tblStylePr>
    <w:tblStylePr w:type="band1Vert">
      <w:rPr>
        <w:rFonts w:ascii="Helvetica" w:hAnsi="Helvetica"/>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2 - Accent 3"/>
    <w:basedOn w:val="751"/>
    <w:uiPriority w:val="99"/>
    <w:qFormat/>
    <w:rPr>
      <w:rFonts w:ascii="Times New Roman" w:hAnsi="Times New Roman" w:eastAsia="宋体" w:cs="Times New Roman"/>
    </w:rPr>
    <w:tblPr>
      <w:tblBorders>
        <w:bottom w:val="single" w:color="A5A5A5" w:sz="4" w:space="0"/>
        <w:insideH w:val="single" w:color="A5A5A5" w:sz="4" w:space="0"/>
        <w:insideV w:val="single" w:color="A5A5A5" w:sz="4" w:space="0"/>
      </w:tblBorders>
    </w:tblPr>
    <w:tblStylePr w:type="band1Horz">
      <w:rPr>
        <w:rFonts w:ascii="Helvetica" w:hAnsi="Helvetica"/>
        <w:color w:val="404040"/>
        <w:sz w:val="22"/>
      </w:rPr>
      <w:tcPr>
        <w:shd w:val="clear" w:color="ececec" w:fill="ececec"/>
      </w:tcPr>
    </w:tblStylePr>
    <w:tblStylePr w:type="band1Vert">
      <w:rPr>
        <w:rFonts w:ascii="Helvetica" w:hAnsi="Helvetica"/>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2 - Accent 4"/>
    <w:basedOn w:val="751"/>
    <w:uiPriority w:val="99"/>
    <w:qFormat/>
    <w:rPr>
      <w:rFonts w:ascii="Times New Roman" w:hAnsi="Times New Roman" w:eastAsia="宋体" w:cs="Times New Roman"/>
    </w:rPr>
    <w:tblPr>
      <w:tblBorders>
        <w:bottom w:val="single" w:color="FFD865" w:sz="4" w:space="0"/>
        <w:insideH w:val="single" w:color="FFD865" w:sz="4" w:space="0"/>
        <w:insideV w:val="single" w:color="FFD865" w:sz="4" w:space="0"/>
      </w:tblBorders>
    </w:tblPr>
    <w:tblStylePr w:type="band1Horz">
      <w:rPr>
        <w:rFonts w:ascii="Helvetica" w:hAnsi="Helvetica"/>
        <w:color w:val="404040"/>
        <w:sz w:val="22"/>
      </w:rPr>
      <w:tcPr>
        <w:shd w:val="clear" w:color="fff2cb" w:fill="fff2cb"/>
      </w:tcPr>
    </w:tblStylePr>
    <w:tblStylePr w:type="band1Vert">
      <w:rPr>
        <w:rFonts w:ascii="Helvetica" w:hAnsi="Helvetica"/>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2 - Accent 5"/>
    <w:basedOn w:val="751"/>
    <w:uiPriority w:val="99"/>
    <w:qFormat/>
    <w:rPr>
      <w:rFonts w:ascii="Times New Roman" w:hAnsi="Times New Roman" w:eastAsia="宋体" w:cs="Times New Roman"/>
    </w:rPr>
    <w:tblPr>
      <w:tblBorders>
        <w:bottom w:val="single" w:color="4472C4" w:sz="4" w:space="0"/>
        <w:insideH w:val="single" w:color="4472C4" w:sz="4" w:space="0"/>
        <w:insideV w:val="single" w:color="4472C4" w:sz="4" w:space="0"/>
      </w:tblBorders>
    </w:tblPr>
    <w:tblStylePr w:type="band1Horz">
      <w:rPr>
        <w:rFonts w:ascii="Helvetica" w:hAnsi="Helvetica"/>
        <w:color w:val="404040"/>
        <w:sz w:val="22"/>
      </w:rPr>
      <w:tcPr>
        <w:shd w:val="clear" w:color="d8e2f3" w:fill="d8e2f3"/>
      </w:tcPr>
    </w:tblStylePr>
    <w:tblStylePr w:type="band1Vert">
      <w:rPr>
        <w:rFonts w:ascii="Helvetica" w:hAnsi="Helvetica"/>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2 - Accent 6"/>
    <w:basedOn w:val="751"/>
    <w:uiPriority w:val="99"/>
    <w:qFormat/>
    <w:rPr>
      <w:rFonts w:ascii="Times New Roman" w:hAnsi="Times New Roman" w:eastAsia="宋体" w:cs="Times New Roman"/>
    </w:rPr>
    <w:tblPr>
      <w:tblBorders>
        <w:bottom w:val="single" w:color="70AD47" w:sz="4" w:space="0"/>
        <w:insideH w:val="single" w:color="70AD47" w:sz="4" w:space="0"/>
        <w:insideV w:val="single" w:color="70AD47" w:sz="4" w:space="0"/>
      </w:tblBorders>
    </w:tblPr>
    <w:tblStylePr w:type="band1Horz">
      <w:rPr>
        <w:rFonts w:ascii="Helvetica" w:hAnsi="Helvetica"/>
        <w:color w:val="404040"/>
        <w:sz w:val="22"/>
      </w:rPr>
      <w:tcPr>
        <w:shd w:val="clear" w:color="e1efd8" w:fill="e1efd8"/>
      </w:tcPr>
    </w:tblStylePr>
    <w:tblStylePr w:type="band1Vert">
      <w:rPr>
        <w:rFonts w:ascii="Helvetica" w:hAnsi="Helvetica"/>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网格表 31"/>
    <w:basedOn w:val="75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3 - Accent 1"/>
    <w:basedOn w:val="751"/>
    <w:uiPriority w:val="99"/>
    <w:qFormat/>
    <w:rPr>
      <w:rFonts w:ascii="Times New Roman" w:hAnsi="Times New Roman" w:eastAsia="宋体" w:cs="Times New Roman"/>
    </w:rPr>
    <w:tblPr>
      <w:tblBorders>
        <w:bottom w:val="single" w:color="68A2D8" w:sz="4" w:space="0"/>
        <w:insideH w:val="single" w:color="68A2D8" w:sz="4" w:space="0"/>
        <w:insideV w:val="single" w:color="68A2D8" w:sz="4" w:space="0"/>
      </w:tblBorders>
    </w:tblPr>
    <w:tblStylePr w:type="band1Horz">
      <w:rPr>
        <w:rFonts w:ascii="Helvetica" w:hAnsi="Helvetica"/>
        <w:color w:val="404040"/>
        <w:sz w:val="22"/>
      </w:rPr>
      <w:tcPr>
        <w:shd w:val="clear" w:color="ddeaf6" w:fill="ddeaf6"/>
      </w:tcPr>
    </w:tblStylePr>
    <w:tblStylePr w:type="band1Vert">
      <w:rPr>
        <w:rFonts w:ascii="Helvetica" w:hAnsi="Helvetica"/>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3 - Accent 2"/>
    <w:basedOn w:val="751"/>
    <w:uiPriority w:val="99"/>
    <w:qFormat/>
    <w:rPr>
      <w:rFonts w:ascii="Times New Roman" w:hAnsi="Times New Roman" w:eastAsia="宋体" w:cs="Times New Roman"/>
    </w:rPr>
    <w:tblPr>
      <w:tblBorders>
        <w:bottom w:val="single" w:color="F4B184" w:sz="4" w:space="0"/>
        <w:insideH w:val="single" w:color="F4B184" w:sz="4" w:space="0"/>
        <w:insideV w:val="single" w:color="F4B184" w:sz="4" w:space="0"/>
      </w:tblBorders>
    </w:tblPr>
    <w:tblStylePr w:type="band1Horz">
      <w:rPr>
        <w:rFonts w:ascii="Helvetica" w:hAnsi="Helvetica"/>
        <w:color w:val="404040"/>
        <w:sz w:val="22"/>
      </w:rPr>
      <w:tcPr>
        <w:shd w:val="clear" w:color="fbe5d6" w:fill="fbe5d6"/>
      </w:tcPr>
    </w:tblStylePr>
    <w:tblStylePr w:type="band1Vert">
      <w:rPr>
        <w:rFonts w:ascii="Helvetica" w:hAnsi="Helvetica"/>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3 - Accent 3"/>
    <w:basedOn w:val="751"/>
    <w:uiPriority w:val="99"/>
    <w:qFormat/>
    <w:rPr>
      <w:rFonts w:ascii="Times New Roman" w:hAnsi="Times New Roman" w:eastAsia="宋体" w:cs="Times New Roman"/>
    </w:rPr>
    <w:tblPr>
      <w:tblBorders>
        <w:bottom w:val="single" w:color="A5A5A5" w:sz="4" w:space="0"/>
        <w:insideH w:val="single" w:color="A5A5A5" w:sz="4" w:space="0"/>
        <w:insideV w:val="single" w:color="A5A5A5" w:sz="4" w:space="0"/>
      </w:tblBorders>
    </w:tblPr>
    <w:tblStylePr w:type="band1Horz">
      <w:rPr>
        <w:rFonts w:ascii="Helvetica" w:hAnsi="Helvetica"/>
        <w:color w:val="404040"/>
        <w:sz w:val="22"/>
      </w:rPr>
      <w:tcPr>
        <w:shd w:val="clear" w:color="ececec" w:fill="ececec"/>
      </w:tcPr>
    </w:tblStylePr>
    <w:tblStylePr w:type="band1Vert">
      <w:rPr>
        <w:rFonts w:ascii="Helvetica" w:hAnsi="Helvetica"/>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3 - Accent 4"/>
    <w:basedOn w:val="751"/>
    <w:uiPriority w:val="99"/>
    <w:qFormat/>
    <w:rPr>
      <w:rFonts w:ascii="Times New Roman" w:hAnsi="Times New Roman" w:eastAsia="宋体" w:cs="Times New Roman"/>
    </w:rPr>
    <w:tblPr>
      <w:tblBorders>
        <w:bottom w:val="single" w:color="FFD865" w:sz="4" w:space="0"/>
        <w:insideH w:val="single" w:color="FFD865" w:sz="4" w:space="0"/>
        <w:insideV w:val="single" w:color="FFD865" w:sz="4" w:space="0"/>
      </w:tblBorders>
    </w:tblPr>
    <w:tblStylePr w:type="band1Horz">
      <w:rPr>
        <w:rFonts w:ascii="Helvetica" w:hAnsi="Helvetica"/>
        <w:color w:val="404040"/>
        <w:sz w:val="22"/>
      </w:rPr>
      <w:tcPr>
        <w:shd w:val="clear" w:color="fff2cb" w:fill="fff2cb"/>
      </w:tcPr>
    </w:tblStylePr>
    <w:tblStylePr w:type="band1Vert">
      <w:rPr>
        <w:rFonts w:ascii="Helvetica" w:hAnsi="Helvetica"/>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3 - Accent 5"/>
    <w:basedOn w:val="751"/>
    <w:uiPriority w:val="99"/>
    <w:qFormat/>
    <w:rPr>
      <w:rFonts w:ascii="Times New Roman" w:hAnsi="Times New Roman" w:eastAsia="宋体" w:cs="Times New Roman"/>
    </w:rPr>
    <w:tblPr>
      <w:tblBorders>
        <w:bottom w:val="single" w:color="4472C4" w:sz="4" w:space="0"/>
        <w:insideH w:val="single" w:color="4472C4" w:sz="4" w:space="0"/>
        <w:insideV w:val="single" w:color="4472C4" w:sz="4" w:space="0"/>
      </w:tblBorders>
    </w:tblPr>
    <w:tblStylePr w:type="band1Horz">
      <w:rPr>
        <w:rFonts w:ascii="Helvetica" w:hAnsi="Helvetica"/>
        <w:color w:val="404040"/>
        <w:sz w:val="22"/>
      </w:rPr>
      <w:tcPr>
        <w:shd w:val="clear" w:color="d8e2f3" w:fill="d8e2f3"/>
      </w:tcPr>
    </w:tblStylePr>
    <w:tblStylePr w:type="band1Vert">
      <w:rPr>
        <w:rFonts w:ascii="Helvetica" w:hAnsi="Helvetica"/>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3 - Accent 6"/>
    <w:basedOn w:val="751"/>
    <w:uiPriority w:val="99"/>
    <w:qFormat/>
    <w:rPr>
      <w:rFonts w:ascii="Times New Roman" w:hAnsi="Times New Roman" w:eastAsia="宋体" w:cs="Times New Roman"/>
    </w:rPr>
    <w:tblPr>
      <w:tblBorders>
        <w:bottom w:val="single" w:color="70AD47" w:sz="4" w:space="0"/>
        <w:insideH w:val="single" w:color="70AD47" w:sz="4" w:space="0"/>
        <w:insideV w:val="single" w:color="70AD47" w:sz="4" w:space="0"/>
      </w:tblBorders>
    </w:tblPr>
    <w:tblStylePr w:type="band1Horz">
      <w:rPr>
        <w:rFonts w:ascii="Helvetica" w:hAnsi="Helvetica"/>
        <w:color w:val="404040"/>
        <w:sz w:val="22"/>
      </w:rPr>
      <w:tcPr>
        <w:shd w:val="clear" w:color="e1efd8" w:fill="e1efd8"/>
      </w:tcPr>
    </w:tblStylePr>
    <w:tblStylePr w:type="band1Vert">
      <w:rPr>
        <w:rFonts w:ascii="Helvetica" w:hAnsi="Helvetica"/>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网格表 41"/>
    <w:basedOn w:val="751"/>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b/>
        <w:color w:val="404040"/>
      </w:rPr>
    </w:tblStylePr>
    <w:tblStylePr w:type="firstRow">
      <w:rPr>
        <w:rFonts w:ascii="Helvetica" w:hAnsi="Helvetic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4 - Accent 1"/>
    <w:basedOn w:val="751"/>
    <w:uiPriority w:val="59"/>
    <w:qFormat/>
    <w:rPr>
      <w:rFonts w:ascii="Times New Roman" w:hAnsi="Times New Roman"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Helvetica" w:hAnsi="Helvetica"/>
        <w:color w:val="404040"/>
        <w:sz w:val="22"/>
      </w:rPr>
      <w:tcPr>
        <w:shd w:val="clear" w:color="deebf6" w:fill="deebf6"/>
      </w:tcPr>
    </w:tblStylePr>
    <w:tblStylePr w:type="band1Vert">
      <w:rPr>
        <w:rFonts w:ascii="Helvetica" w:hAnsi="Helvetica"/>
        <w:color w:val="404040"/>
        <w:sz w:val="22"/>
      </w:rPr>
      <w:tcPr>
        <w:shd w:val="clear" w:color="deebf6" w:fill="deebf6"/>
      </w:tcPr>
    </w:tblStylePr>
    <w:tblStylePr w:type="firstCol">
      <w:rPr>
        <w:b/>
        <w:color w:val="404040"/>
      </w:rPr>
    </w:tblStylePr>
    <w:tblStylePr w:type="firstRow">
      <w:rPr>
        <w:rFonts w:ascii="Helvetica" w:hAnsi="Helvetica"/>
        <w:b/>
        <w:color w:val="ffffff"/>
        <w:sz w:val="22"/>
      </w:rPr>
      <w:tcPr>
        <w:shd w:val="clear" w:color="68a2d8" w:fill="68a2d8"/>
        <w:tcBorders>
          <w:top w:val="single" w:color="68A2D8" w:sz="4" w:space="0"/>
          <w:left w:val="single" w:color="68A2D8" w:sz="4" w:space="0"/>
          <w:bottom w:val="single" w:color="68A2D8" w:sz="4" w:space="0"/>
          <w:right w:val="single" w:color="68A2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2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4 - Accent 2"/>
    <w:basedOn w:val="751"/>
    <w:uiPriority w:val="59"/>
    <w:qFormat/>
    <w:rPr>
      <w:rFonts w:ascii="Times New Roman" w:hAnsi="Times New Roman"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Helvetica" w:hAnsi="Helvetica"/>
        <w:color w:val="404040"/>
        <w:sz w:val="22"/>
      </w:rPr>
      <w:tcPr>
        <w:shd w:val="clear" w:color="fbe5d6" w:fill="fbe5d6"/>
      </w:tcPr>
    </w:tblStylePr>
    <w:tblStylePr w:type="band1Vert">
      <w:rPr>
        <w:rFonts w:ascii="Helvetica" w:hAnsi="Helvetica"/>
        <w:color w:val="404040"/>
        <w:sz w:val="22"/>
      </w:rPr>
      <w:tcPr>
        <w:shd w:val="clear" w:color="fbe5d6" w:fill="fbe5d6"/>
      </w:tcPr>
    </w:tblStylePr>
    <w:tblStylePr w:type="firstCol">
      <w:rPr>
        <w:b/>
        <w:color w:val="404040"/>
      </w:rPr>
    </w:tblStylePr>
    <w:tblStylePr w:type="firstRow">
      <w:rPr>
        <w:rFonts w:ascii="Helvetica" w:hAnsi="Helvetica"/>
        <w:b/>
        <w:color w:val="ffffff"/>
        <w:sz w:val="22"/>
      </w:rPr>
      <w:tcPr>
        <w:shd w:val="clear" w:color="f4b184" w:fill="f4b184"/>
        <w:tcBorders>
          <w:top w:val="single" w:color="F4B184" w:sz="4" w:space="0"/>
          <w:left w:val="single" w:color="F4B184" w:sz="4" w:space="0"/>
          <w:bottom w:val="single" w:color="F4B184" w:sz="4" w:space="0"/>
          <w:right w:val="single" w:color="F4B18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18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4 - Accent 3"/>
    <w:basedOn w:val="751"/>
    <w:uiPriority w:val="59"/>
    <w:qFormat/>
    <w:rPr>
      <w:rFonts w:ascii="Times New Roman" w:hAnsi="Times New Roman"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Helvetica" w:hAnsi="Helvetica"/>
        <w:color w:val="404040"/>
        <w:sz w:val="22"/>
      </w:rPr>
      <w:tcPr>
        <w:shd w:val="clear" w:color="ececec" w:fill="ececec"/>
      </w:tcPr>
    </w:tblStylePr>
    <w:tblStylePr w:type="band1Vert">
      <w:rPr>
        <w:rFonts w:ascii="Helvetica" w:hAnsi="Helvetica"/>
        <w:color w:val="404040"/>
        <w:sz w:val="22"/>
      </w:rPr>
      <w:tcPr>
        <w:shd w:val="clear" w:color="ececec" w:fill="ececec"/>
      </w:tcPr>
    </w:tblStylePr>
    <w:tblStylePr w:type="firstCol">
      <w:rPr>
        <w:b/>
        <w:color w:val="404040"/>
      </w:rPr>
    </w:tblStylePr>
    <w:tblStylePr w:type="firstRow">
      <w:rPr>
        <w:rFonts w:ascii="Helvetica" w:hAnsi="Helvetica"/>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4 - Accent 4"/>
    <w:basedOn w:val="751"/>
    <w:uiPriority w:val="59"/>
    <w:qFormat/>
    <w:rPr>
      <w:rFonts w:ascii="Times New Roman" w:hAnsi="Times New Roman" w:eastAsia="宋体" w:cs="Times New Roman"/>
    </w:rPr>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Helvetica" w:hAnsi="Helvetica"/>
        <w:color w:val="404040"/>
        <w:sz w:val="22"/>
      </w:rPr>
      <w:tcPr>
        <w:shd w:val="clear" w:color="fff2cb" w:fill="fff2cb"/>
      </w:tcPr>
    </w:tblStylePr>
    <w:tblStylePr w:type="band1Vert">
      <w:rPr>
        <w:rFonts w:ascii="Helvetica" w:hAnsi="Helvetica"/>
        <w:color w:val="404040"/>
        <w:sz w:val="22"/>
      </w:rPr>
      <w:tcPr>
        <w:shd w:val="clear" w:color="fff2cb" w:fill="fff2cb"/>
      </w:tcPr>
    </w:tblStylePr>
    <w:tblStylePr w:type="firstCol">
      <w:rPr>
        <w:b/>
        <w:color w:val="404040"/>
      </w:rPr>
    </w:tblStylePr>
    <w:tblStylePr w:type="firstRow">
      <w:rPr>
        <w:rFonts w:ascii="Helvetica" w:hAnsi="Helvetica"/>
        <w:b/>
        <w:color w:val="ffffff"/>
        <w:sz w:val="22"/>
      </w:rPr>
      <w:tcPr>
        <w:shd w:val="clear" w:color="ffd865" w:fill="ffd865"/>
        <w:tcBorders>
          <w:top w:val="single" w:color="FFD865" w:sz="4" w:space="0"/>
          <w:left w:val="single" w:color="FFD865" w:sz="4" w:space="0"/>
          <w:bottom w:val="single" w:color="FFD865" w:sz="4" w:space="0"/>
          <w:right w:val="single" w:color="FFD86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4 - Accent 5"/>
    <w:basedOn w:val="751"/>
    <w:uiPriority w:val="59"/>
    <w:qFormat/>
    <w:rPr>
      <w:rFonts w:ascii="Times New Roman" w:hAnsi="Times New Roman"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Helvetica" w:hAnsi="Helvetica"/>
        <w:color w:val="404040"/>
        <w:sz w:val="22"/>
      </w:rPr>
      <w:tcPr>
        <w:shd w:val="clear" w:color="d8e2f3" w:fill="d8e2f3"/>
      </w:tcPr>
    </w:tblStylePr>
    <w:tblStylePr w:type="band1Vert">
      <w:rPr>
        <w:rFonts w:ascii="Helvetica" w:hAnsi="Helvetica"/>
        <w:color w:val="404040"/>
        <w:sz w:val="22"/>
      </w:rPr>
      <w:tcPr>
        <w:shd w:val="clear" w:color="d8e2f3" w:fill="d8e2f3"/>
      </w:tcPr>
    </w:tblStylePr>
    <w:tblStylePr w:type="firstCol">
      <w:rPr>
        <w:b/>
        <w:color w:val="404040"/>
      </w:rPr>
    </w:tblStylePr>
    <w:tblStylePr w:type="firstRow">
      <w:rPr>
        <w:rFonts w:ascii="Helvetica" w:hAnsi="Helvetica"/>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4 - Accent 6"/>
    <w:basedOn w:val="751"/>
    <w:uiPriority w:val="59"/>
    <w:qFormat/>
    <w:rPr>
      <w:rFonts w:ascii="Times New Roman" w:hAnsi="Times New Roman"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Helvetica" w:hAnsi="Helvetica"/>
        <w:color w:val="404040"/>
        <w:sz w:val="22"/>
      </w:rPr>
      <w:tcPr>
        <w:shd w:val="clear" w:color="e1efd8" w:fill="e1efd8"/>
      </w:tcPr>
    </w:tblStylePr>
    <w:tblStylePr w:type="band1Vert">
      <w:rPr>
        <w:rFonts w:ascii="Helvetica" w:hAnsi="Helvetica"/>
        <w:color w:val="404040"/>
        <w:sz w:val="22"/>
      </w:rPr>
      <w:tcPr>
        <w:shd w:val="clear" w:color="e1efd8" w:fill="e1efd8"/>
      </w:tcPr>
    </w:tblStylePr>
    <w:tblStylePr w:type="firstCol">
      <w:rPr>
        <w:b/>
        <w:color w:val="404040"/>
      </w:rPr>
    </w:tblStylePr>
    <w:tblStylePr w:type="firstRow">
      <w:rPr>
        <w:rFonts w:ascii="Helvetica" w:hAnsi="Helvetica"/>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网格表 5 深色1"/>
    <w:basedOn w:val="75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bfbfbf" w:fill="bfbfbf"/>
    </w:tcPr>
    <w:tblStylePr w:type="band1Horz">
      <w:tcPr>
        <w:shd w:val="clear" w:color="8a8a8a" w:fill="8a8a8a"/>
      </w:tcPr>
    </w:tblStylePr>
    <w:tblStylePr w:type="band1Vert">
      <w:tcPr>
        <w:shd w:val="clear" w:color="8a8a8a" w:fill="8a8a8a"/>
      </w:tcPr>
    </w:tblStylePr>
    <w:tblStylePr w:type="firstCol">
      <w:rPr>
        <w:rFonts w:ascii="Helvetica" w:hAnsi="Helvetica"/>
        <w:b/>
        <w:color w:val="ffffff"/>
        <w:sz w:val="22"/>
      </w:rPr>
      <w:tcPr>
        <w:shd w:val="clear" w:color="000000" w:fill="000000"/>
      </w:tcPr>
    </w:tblStylePr>
    <w:tblStylePr w:type="firstRow">
      <w:rPr>
        <w:rFonts w:ascii="Helvetica" w:hAnsi="Helvetica"/>
        <w:b/>
        <w:color w:val="ffffff"/>
        <w:sz w:val="22"/>
      </w:rPr>
      <w:tcPr>
        <w:shd w:val="clear" w:color="000000" w:fill="000000"/>
      </w:tcPr>
    </w:tblStylePr>
    <w:tblStylePr w:type="lastCol">
      <w:rPr>
        <w:rFonts w:ascii="Helvetica" w:hAnsi="Helvetica"/>
        <w:b/>
        <w:color w:val="ffffff"/>
        <w:sz w:val="22"/>
      </w:rPr>
      <w:tcPr>
        <w:shd w:val="clear" w:color="000000" w:fill="000000"/>
      </w:tcPr>
    </w:tblStylePr>
    <w:tblStylePr w:type="lastRow">
      <w:rPr>
        <w:rFonts w:ascii="Helvetica" w:hAnsi="Helvetic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5 Dark- Accent 1"/>
    <w:basedOn w:val="75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deaf6" w:fill="ddeaf6"/>
    </w:tcPr>
    <w:tblStylePr w:type="band1Horz">
      <w:tcPr>
        <w:shd w:val="clear" w:color="b3d0eb" w:fill="b3d0eb"/>
      </w:tcPr>
    </w:tblStylePr>
    <w:tblStylePr w:type="band1Vert">
      <w:tcPr>
        <w:shd w:val="clear" w:color="b3d0eb" w:fill="b3d0eb"/>
      </w:tcPr>
    </w:tblStylePr>
    <w:tblStylePr w:type="firstCol">
      <w:rPr>
        <w:rFonts w:ascii="Helvetica" w:hAnsi="Helvetica"/>
        <w:b/>
        <w:color w:val="ffffff"/>
        <w:sz w:val="22"/>
      </w:rPr>
      <w:tcPr>
        <w:shd w:val="clear" w:color="5b9bd5" w:fill="5b9bd5"/>
      </w:tcPr>
    </w:tblStylePr>
    <w:tblStylePr w:type="firstRow">
      <w:rPr>
        <w:rFonts w:ascii="Helvetica" w:hAnsi="Helvetica"/>
        <w:b/>
        <w:color w:val="ffffff"/>
        <w:sz w:val="22"/>
      </w:rPr>
      <w:tcPr>
        <w:shd w:val="clear" w:color="5b9bd5" w:fill="5b9bd5"/>
      </w:tcPr>
    </w:tblStylePr>
    <w:tblStylePr w:type="lastCol">
      <w:rPr>
        <w:rFonts w:ascii="Helvetica" w:hAnsi="Helvetica"/>
        <w:b/>
        <w:color w:val="ffffff"/>
        <w:sz w:val="22"/>
      </w:rPr>
      <w:tcPr>
        <w:shd w:val="clear" w:color="5b9bd5" w:fill="5b9bd5"/>
      </w:tcPr>
    </w:tblStylePr>
    <w:tblStylePr w:type="lastRow">
      <w:rPr>
        <w:rFonts w:ascii="Helvetica" w:hAnsi="Helvetica"/>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5 Dark - Accent 2"/>
    <w:basedOn w:val="75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be5d6" w:fill="fbe5d6"/>
    </w:tcPr>
    <w:tblStylePr w:type="band1Horz">
      <w:tcPr>
        <w:shd w:val="clear" w:color="f6c3a0" w:fill="f6c3a0"/>
      </w:tcPr>
    </w:tblStylePr>
    <w:tblStylePr w:type="band1Vert">
      <w:tcPr>
        <w:shd w:val="clear" w:color="f6c3a0" w:fill="f6c3a0"/>
      </w:tcPr>
    </w:tblStylePr>
    <w:tblStylePr w:type="firstCol">
      <w:rPr>
        <w:rFonts w:ascii="Helvetica" w:hAnsi="Helvetica"/>
        <w:b/>
        <w:color w:val="ffffff"/>
        <w:sz w:val="22"/>
      </w:rPr>
      <w:tcPr>
        <w:shd w:val="clear" w:color="ed7d31" w:fill="ed7d31"/>
      </w:tcPr>
    </w:tblStylePr>
    <w:tblStylePr w:type="firstRow">
      <w:rPr>
        <w:rFonts w:ascii="Helvetica" w:hAnsi="Helvetica"/>
        <w:b/>
        <w:color w:val="ffffff"/>
        <w:sz w:val="22"/>
      </w:rPr>
      <w:tcPr>
        <w:shd w:val="clear" w:color="ed7d31" w:fill="ed7d31"/>
      </w:tcPr>
    </w:tblStylePr>
    <w:tblStylePr w:type="lastCol">
      <w:rPr>
        <w:rFonts w:ascii="Helvetica" w:hAnsi="Helvetica"/>
        <w:b/>
        <w:color w:val="ffffff"/>
        <w:sz w:val="22"/>
      </w:rPr>
      <w:tcPr>
        <w:shd w:val="clear" w:color="ed7d31" w:fill="ed7d31"/>
      </w:tcPr>
    </w:tblStylePr>
    <w:tblStylePr w:type="lastRow">
      <w:rPr>
        <w:rFonts w:ascii="Helvetica" w:hAnsi="Helvetica"/>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5 Dark - Accent 3"/>
    <w:basedOn w:val="75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cecec" w:fill="ececec"/>
    </w:tcPr>
    <w:tblStylePr w:type="band1Horz">
      <w:tcPr>
        <w:shd w:val="clear" w:color="d5d5d5" w:fill="d5d5d5"/>
      </w:tcPr>
    </w:tblStylePr>
    <w:tblStylePr w:type="band1Vert">
      <w:tcPr>
        <w:shd w:val="clear" w:color="d5d5d5" w:fill="d5d5d5"/>
      </w:tcPr>
    </w:tblStylePr>
    <w:tblStylePr w:type="firstCol">
      <w:rPr>
        <w:rFonts w:ascii="Helvetica" w:hAnsi="Helvetica"/>
        <w:b/>
        <w:color w:val="ffffff"/>
        <w:sz w:val="22"/>
      </w:rPr>
      <w:tcPr>
        <w:shd w:val="clear" w:color="a5a5a5" w:fill="a5a5a5"/>
      </w:tcPr>
    </w:tblStylePr>
    <w:tblStylePr w:type="firstRow">
      <w:rPr>
        <w:rFonts w:ascii="Helvetica" w:hAnsi="Helvetica"/>
        <w:b/>
        <w:color w:val="ffffff"/>
        <w:sz w:val="22"/>
      </w:rPr>
      <w:tcPr>
        <w:shd w:val="clear" w:color="a5a5a5" w:fill="a5a5a5"/>
      </w:tcPr>
    </w:tblStylePr>
    <w:tblStylePr w:type="lastCol">
      <w:rPr>
        <w:rFonts w:ascii="Helvetica" w:hAnsi="Helvetica"/>
        <w:b/>
        <w:color w:val="ffffff"/>
        <w:sz w:val="22"/>
      </w:rPr>
      <w:tcPr>
        <w:shd w:val="clear" w:color="a5a5a5" w:fill="a5a5a5"/>
      </w:tcPr>
    </w:tblStylePr>
    <w:tblStylePr w:type="lastRow">
      <w:rPr>
        <w:rFonts w:ascii="Helvetica" w:hAnsi="Helvetica"/>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5 Dark- Accent 4"/>
    <w:basedOn w:val="75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ff2cb" w:fill="fff2cb"/>
    </w:tcPr>
    <w:tblStylePr w:type="band1Horz">
      <w:tcPr>
        <w:shd w:val="clear" w:color="ffe28a" w:fill="ffe28a"/>
      </w:tcPr>
    </w:tblStylePr>
    <w:tblStylePr w:type="band1Vert">
      <w:tcPr>
        <w:shd w:val="clear" w:color="ffe28a" w:fill="ffe28a"/>
      </w:tcPr>
    </w:tblStylePr>
    <w:tblStylePr w:type="firstCol">
      <w:rPr>
        <w:rFonts w:ascii="Helvetica" w:hAnsi="Helvetica"/>
        <w:b/>
        <w:color w:val="ffffff"/>
        <w:sz w:val="22"/>
      </w:rPr>
      <w:tcPr>
        <w:shd w:val="clear" w:color="ffc000" w:fill="ffc000"/>
      </w:tcPr>
    </w:tblStylePr>
    <w:tblStylePr w:type="firstRow">
      <w:rPr>
        <w:rFonts w:ascii="Helvetica" w:hAnsi="Helvetica"/>
        <w:b/>
        <w:color w:val="ffffff"/>
        <w:sz w:val="22"/>
      </w:rPr>
      <w:tcPr>
        <w:shd w:val="clear" w:color="ffc000" w:fill="ffc000"/>
      </w:tcPr>
    </w:tblStylePr>
    <w:tblStylePr w:type="lastCol">
      <w:rPr>
        <w:rFonts w:ascii="Helvetica" w:hAnsi="Helvetica"/>
        <w:b/>
        <w:color w:val="ffffff"/>
        <w:sz w:val="22"/>
      </w:rPr>
      <w:tcPr>
        <w:shd w:val="clear" w:color="ffc000" w:fill="ffc000"/>
      </w:tcPr>
    </w:tblStylePr>
    <w:tblStylePr w:type="lastRow">
      <w:rPr>
        <w:rFonts w:ascii="Helvetica" w:hAnsi="Helvetica"/>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5 Dark - Accent 5"/>
    <w:basedOn w:val="75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8e2f3" w:fill="d8e2f3"/>
    </w:tcPr>
    <w:tblStylePr w:type="band1Horz">
      <w:tcPr>
        <w:shd w:val="clear" w:color="a9bee4" w:fill="a9bee4"/>
      </w:tcPr>
    </w:tblStylePr>
    <w:tblStylePr w:type="band1Vert">
      <w:tcPr>
        <w:shd w:val="clear" w:color="a9bee4" w:fill="a9bee4"/>
      </w:tcPr>
    </w:tblStylePr>
    <w:tblStylePr w:type="firstCol">
      <w:rPr>
        <w:rFonts w:ascii="Helvetica" w:hAnsi="Helvetica"/>
        <w:b/>
        <w:color w:val="ffffff"/>
        <w:sz w:val="22"/>
      </w:rPr>
      <w:tcPr>
        <w:shd w:val="clear" w:color="4472c4" w:fill="4472c4"/>
      </w:tcPr>
    </w:tblStylePr>
    <w:tblStylePr w:type="firstRow">
      <w:rPr>
        <w:rFonts w:ascii="Helvetica" w:hAnsi="Helvetica"/>
        <w:b/>
        <w:color w:val="ffffff"/>
        <w:sz w:val="22"/>
      </w:rPr>
      <w:tcPr>
        <w:shd w:val="clear" w:color="4472c4" w:fill="4472c4"/>
      </w:tcPr>
    </w:tblStylePr>
    <w:tblStylePr w:type="lastCol">
      <w:rPr>
        <w:rFonts w:ascii="Helvetica" w:hAnsi="Helvetica"/>
        <w:b/>
        <w:color w:val="ffffff"/>
        <w:sz w:val="22"/>
      </w:rPr>
      <w:tcPr>
        <w:shd w:val="clear" w:color="4472c4" w:fill="4472c4"/>
      </w:tcPr>
    </w:tblStylePr>
    <w:tblStylePr w:type="lastRow">
      <w:rPr>
        <w:rFonts w:ascii="Helvetica" w:hAnsi="Helvetica"/>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5 Dark - Accent 6"/>
    <w:basedOn w:val="75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1efd8" w:fill="e1efd8"/>
    </w:tcPr>
    <w:tblStylePr w:type="band1Horz">
      <w:tcPr>
        <w:shd w:val="clear" w:color="bcdba8" w:fill="bcdba8"/>
      </w:tcPr>
    </w:tblStylePr>
    <w:tblStylePr w:type="band1Vert">
      <w:tcPr>
        <w:shd w:val="clear" w:color="bcdba8" w:fill="bcdba8"/>
      </w:tcPr>
    </w:tblStylePr>
    <w:tblStylePr w:type="firstCol">
      <w:rPr>
        <w:rFonts w:ascii="Helvetica" w:hAnsi="Helvetica"/>
        <w:b/>
        <w:color w:val="ffffff"/>
        <w:sz w:val="22"/>
      </w:rPr>
      <w:tcPr>
        <w:shd w:val="clear" w:color="70ad47" w:fill="70ad47"/>
      </w:tcPr>
    </w:tblStylePr>
    <w:tblStylePr w:type="firstRow">
      <w:rPr>
        <w:rFonts w:ascii="Helvetica" w:hAnsi="Helvetica"/>
        <w:b/>
        <w:color w:val="ffffff"/>
        <w:sz w:val="22"/>
      </w:rPr>
      <w:tcPr>
        <w:shd w:val="clear" w:color="70ad47" w:fill="70ad47"/>
      </w:tcPr>
    </w:tblStylePr>
    <w:tblStylePr w:type="lastCol">
      <w:rPr>
        <w:rFonts w:ascii="Helvetica" w:hAnsi="Helvetica"/>
        <w:b/>
        <w:color w:val="ffffff"/>
        <w:sz w:val="22"/>
      </w:rPr>
      <w:tcPr>
        <w:shd w:val="clear" w:color="70ad47" w:fill="70ad47"/>
      </w:tcPr>
    </w:tblStylePr>
    <w:tblStylePr w:type="lastRow">
      <w:rPr>
        <w:rFonts w:ascii="Helvetica" w:hAnsi="Helvetica"/>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网格表 6 彩色1"/>
    <w:basedOn w:val="751"/>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Helvetica" w:hAnsi="Helvetica"/>
        <w:color w:val="7f7f7f"/>
        <w:sz w:val="22"/>
      </w:rPr>
      <w:tcPr>
        <w:shd w:val="clear" w:color="cbcbcb" w:fill="cbcbcb"/>
      </w:tcPr>
    </w:tblStylePr>
    <w:tblStylePr w:type="band1Vert">
      <w:tcPr>
        <w:shd w:val="clear" w:color="cbcbcb" w:fill="cbcbcb"/>
      </w:tcPr>
    </w:tblStylePr>
    <w:tblStylePr w:type="band2Horz">
      <w:rPr>
        <w:rFonts w:ascii="Helvetica" w:hAnsi="Helvetica"/>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75" w:customStyle="1">
    <w:name w:val="Grid Table 6 Colorful - Accent 1"/>
    <w:basedOn w:val="751"/>
    <w:uiPriority w:val="99"/>
    <w:qFormat/>
    <w:rPr>
      <w:rFonts w:ascii="Times New Roman" w:hAnsi="Times New Roman" w:eastAsia="宋体" w:cs="Times New Roman"/>
    </w:rPr>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Helvetica" w:hAnsi="Helvetica"/>
        <w:color w:val="acccea"/>
        <w:sz w:val="22"/>
      </w:rPr>
      <w:tcPr>
        <w:shd w:val="clear" w:color="ddeaf6" w:fill="ddeaf6"/>
      </w:tcPr>
    </w:tblStylePr>
    <w:tblStylePr w:type="band1Vert">
      <w:tcPr>
        <w:shd w:val="clear" w:color="ddeaf6" w:fill="ddeaf6"/>
      </w:tcPr>
    </w:tblStylePr>
    <w:tblStylePr w:type="band2Horz">
      <w:rPr>
        <w:rFonts w:ascii="Helvetica" w:hAnsi="Helvetica"/>
        <w:color w:val="acccea"/>
        <w:sz w:val="22"/>
      </w:rPr>
    </w:tblStylePr>
    <w:tblStylePr w:type="firstCol">
      <w:rPr>
        <w:b/>
        <w:color w:val="acccea"/>
      </w:rPr>
    </w:tblStylePr>
    <w:tblStylePr w:type="firstRow">
      <w:rPr>
        <w:b/>
        <w:color w:val="acccea"/>
      </w:rPr>
      <w:tcPr>
        <w:tcBorders>
          <w:top w:val="none" w:color="000000" w:sz="4" w:space="0"/>
          <w:left w:val="none" w:color="000000" w:sz="4" w:space="0"/>
          <w:bottom w:val="single" w:color="ACCCEA" w:sz="12" w:space="0"/>
          <w:right w:val="none" w:color="000000" w:sz="4" w:space="0"/>
          <w:insideH w:val="none" w:color="000000" w:sz="4" w:space="0"/>
          <w:insideV w:val="none" w:color="000000" w:sz="4" w:space="0"/>
        </w:tcBorders>
      </w:tcPr>
    </w:tblStylePr>
    <w:tblStylePr w:type="lastCol">
      <w:rPr>
        <w:b/>
        <w:color w:val="acccea"/>
      </w:rPr>
    </w:tblStylePr>
    <w:tblStylePr w:type="lastRow">
      <w:rPr>
        <w:b/>
        <w:color w:val="acccea"/>
      </w:rPr>
    </w:tblStylePr>
  </w:style>
  <w:style w:type="table" w:styleId="876" w:customStyle="1">
    <w:name w:val="Grid Table 6 Colorful - Accent 2"/>
    <w:basedOn w:val="751"/>
    <w:uiPriority w:val="99"/>
    <w:qFormat/>
    <w:rPr>
      <w:rFonts w:ascii="Times New Roman" w:hAnsi="Times New Roman" w:eastAsia="宋体" w:cs="Times New Roman"/>
    </w:rPr>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Helvetica" w:hAnsi="Helvetica"/>
        <w:color w:val="f4b184"/>
        <w:sz w:val="22"/>
      </w:rPr>
      <w:tcPr>
        <w:shd w:val="clear" w:color="fbe5d6" w:fill="fbe5d6"/>
      </w:tcPr>
    </w:tblStylePr>
    <w:tblStylePr w:type="band1Vert">
      <w:tcPr>
        <w:shd w:val="clear" w:color="fbe5d6" w:fill="fbe5d6"/>
      </w:tcPr>
    </w:tblStylePr>
    <w:tblStylePr w:type="band2Horz">
      <w:rPr>
        <w:rFonts w:ascii="Helvetica" w:hAnsi="Helvetica"/>
        <w:color w:val="f4b184"/>
        <w:sz w:val="22"/>
      </w:rPr>
    </w:tblStylePr>
    <w:tblStylePr w:type="firstCol">
      <w:rPr>
        <w:b/>
        <w:color w:val="f4b184"/>
      </w:rPr>
    </w:tblStylePr>
    <w:tblStylePr w:type="firstRow">
      <w:rPr>
        <w:b/>
        <w:color w:val="f4b184"/>
      </w:rPr>
      <w:tcPr>
        <w:tcBorders>
          <w:top w:val="none" w:color="000000" w:sz="4" w:space="0"/>
          <w:left w:val="none" w:color="000000" w:sz="4" w:space="0"/>
          <w:bottom w:val="single" w:color="F4B184" w:sz="12" w:space="0"/>
          <w:right w:val="none" w:color="000000" w:sz="4" w:space="0"/>
          <w:insideH w:val="none" w:color="000000" w:sz="4" w:space="0"/>
          <w:insideV w:val="none" w:color="000000" w:sz="4" w:space="0"/>
        </w:tcBorders>
      </w:tcPr>
    </w:tblStylePr>
    <w:tblStylePr w:type="lastCol">
      <w:rPr>
        <w:b/>
        <w:color w:val="f4b184"/>
      </w:rPr>
    </w:tblStylePr>
    <w:tblStylePr w:type="lastRow">
      <w:rPr>
        <w:b/>
        <w:color w:val="f4b184"/>
      </w:rPr>
    </w:tblStylePr>
  </w:style>
  <w:style w:type="table" w:styleId="877" w:customStyle="1">
    <w:name w:val="Grid Table 6 Colorful - Accent 3"/>
    <w:basedOn w:val="751"/>
    <w:uiPriority w:val="99"/>
    <w:qFormat/>
    <w:rPr>
      <w:rFonts w:ascii="Times New Roman" w:hAnsi="Times New Roman" w:eastAsia="宋体" w:cs="Times New Roman"/>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Helvetica" w:hAnsi="Helvetica"/>
        <w:color w:val="a5a5a5"/>
        <w:sz w:val="22"/>
      </w:rPr>
      <w:tcPr>
        <w:shd w:val="clear" w:color="ececec" w:fill="ececec"/>
      </w:tcPr>
    </w:tblStylePr>
    <w:tblStylePr w:type="band1Vert">
      <w:tcPr>
        <w:shd w:val="clear" w:color="ececec" w:fill="ececec"/>
      </w:tcPr>
    </w:tblStylePr>
    <w:tblStylePr w:type="band2Horz">
      <w:rPr>
        <w:rFonts w:ascii="Helvetica" w:hAnsi="Helvetica"/>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878" w:customStyle="1">
    <w:name w:val="Grid Table 6 Colorful - Accent 4"/>
    <w:basedOn w:val="751"/>
    <w:uiPriority w:val="99"/>
    <w:qFormat/>
    <w:rPr>
      <w:rFonts w:ascii="Times New Roman" w:hAnsi="Times New Roman" w:eastAsia="宋体" w:cs="Times New Roman"/>
    </w:rPr>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Helvetica" w:hAnsi="Helvetica"/>
        <w:color w:val="ffd865"/>
        <w:sz w:val="22"/>
      </w:rPr>
      <w:tcPr>
        <w:shd w:val="clear" w:color="fff2cb" w:fill="fff2cb"/>
      </w:tcPr>
    </w:tblStylePr>
    <w:tblStylePr w:type="band1Vert">
      <w:tcPr>
        <w:shd w:val="clear" w:color="fff2cb" w:fill="fff2cb"/>
      </w:tcPr>
    </w:tblStylePr>
    <w:tblStylePr w:type="band2Horz">
      <w:rPr>
        <w:rFonts w:ascii="Helvetica" w:hAnsi="Helvetica"/>
        <w:color w:val="ffd865"/>
        <w:sz w:val="22"/>
      </w:rPr>
    </w:tblStylePr>
    <w:tblStylePr w:type="firstCol">
      <w:rPr>
        <w:b/>
        <w:color w:val="ffd865"/>
      </w:rPr>
    </w:tblStylePr>
    <w:tblStylePr w:type="firstRow">
      <w:rPr>
        <w:b/>
        <w:color w:val="ffd865"/>
      </w:rPr>
      <w:tcPr>
        <w:tcBorders>
          <w:top w:val="none" w:color="000000" w:sz="4" w:space="0"/>
          <w:left w:val="none" w:color="000000" w:sz="4" w:space="0"/>
          <w:bottom w:val="single" w:color="FFD865" w:sz="12" w:space="0"/>
          <w:right w:val="none" w:color="000000" w:sz="4" w:space="0"/>
          <w:insideH w:val="none" w:color="000000" w:sz="4" w:space="0"/>
          <w:insideV w:val="none" w:color="000000" w:sz="4" w:space="0"/>
        </w:tcBorders>
      </w:tcPr>
    </w:tblStylePr>
    <w:tblStylePr w:type="lastCol">
      <w:rPr>
        <w:b/>
        <w:color w:val="ffd865"/>
      </w:rPr>
    </w:tblStylePr>
    <w:tblStylePr w:type="lastRow">
      <w:rPr>
        <w:b/>
        <w:color w:val="ffd865"/>
      </w:rPr>
    </w:tblStylePr>
  </w:style>
  <w:style w:type="table" w:styleId="879" w:customStyle="1">
    <w:name w:val="Grid Table 6 Colorful - Accent 5"/>
    <w:basedOn w:val="751"/>
    <w:uiPriority w:val="99"/>
    <w:qFormat/>
    <w:rPr>
      <w:rFonts w:ascii="Times New Roman" w:hAnsi="Times New Roman" w:eastAsia="宋体" w:cs="Times New Roman"/>
    </w:rPr>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Helvetica" w:hAnsi="Helvetica"/>
        <w:color w:val="254175"/>
        <w:sz w:val="22"/>
      </w:rPr>
      <w:tcPr>
        <w:shd w:val="clear" w:color="d8e2f3" w:fill="d8e2f3"/>
      </w:tcPr>
    </w:tblStylePr>
    <w:tblStylePr w:type="band1Vert">
      <w:tcPr>
        <w:shd w:val="clear" w:color="d8e2f3" w:fill="d8e2f3"/>
      </w:tcPr>
    </w:tblStylePr>
    <w:tblStylePr w:type="band2Horz">
      <w:rPr>
        <w:rFonts w:ascii="Helvetica" w:hAnsi="Helvetica"/>
        <w:color w:val="254175"/>
        <w:sz w:val="22"/>
      </w:rPr>
    </w:tblStylePr>
    <w:tblStylePr w:type="firstCol">
      <w:rPr>
        <w:b/>
        <w:color w:val="254175"/>
      </w:rPr>
    </w:tblStylePr>
    <w:tblStylePr w:type="firstRow">
      <w:rPr>
        <w:b/>
        <w:color w:val="254175"/>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54175"/>
      </w:rPr>
    </w:tblStylePr>
    <w:tblStylePr w:type="lastRow">
      <w:rPr>
        <w:b/>
        <w:color w:val="254175"/>
      </w:rPr>
    </w:tblStylePr>
  </w:style>
  <w:style w:type="table" w:styleId="880" w:customStyle="1">
    <w:name w:val="Grid Table 6 Colorful - Accent 6"/>
    <w:basedOn w:val="751"/>
    <w:uiPriority w:val="99"/>
    <w:qFormat/>
    <w:rPr>
      <w:rFonts w:ascii="Times New Roman" w:hAnsi="Times New Roman" w:eastAsia="宋体" w:cs="Times New Roman"/>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Helvetica" w:hAnsi="Helvetica"/>
        <w:color w:val="254175"/>
        <w:sz w:val="22"/>
      </w:rPr>
      <w:tcPr>
        <w:shd w:val="clear" w:color="e1efd8" w:fill="e1efd8"/>
      </w:tcPr>
    </w:tblStylePr>
    <w:tblStylePr w:type="band1Vert">
      <w:tcPr>
        <w:shd w:val="clear" w:color="e1efd8" w:fill="e1efd8"/>
      </w:tcPr>
    </w:tblStylePr>
    <w:tblStylePr w:type="band2Horz">
      <w:rPr>
        <w:rFonts w:ascii="Helvetica" w:hAnsi="Helvetica"/>
        <w:color w:val="254175"/>
        <w:sz w:val="22"/>
      </w:rPr>
    </w:tblStylePr>
    <w:tblStylePr w:type="firstCol">
      <w:rPr>
        <w:b/>
        <w:color w:val="254175"/>
      </w:rPr>
    </w:tblStylePr>
    <w:tblStylePr w:type="firstRow">
      <w:rPr>
        <w:b/>
        <w:color w:val="254175"/>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54175"/>
      </w:rPr>
    </w:tblStylePr>
    <w:tblStylePr w:type="lastRow">
      <w:rPr>
        <w:b/>
        <w:color w:val="254175"/>
      </w:rPr>
    </w:tblStylePr>
  </w:style>
  <w:style w:type="table" w:styleId="881" w:customStyle="1">
    <w:name w:val="网格表 7 彩色1"/>
    <w:basedOn w:val="751"/>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Helvetica" w:hAnsi="Helvetica"/>
        <w:color w:val="7f7f7f"/>
        <w:sz w:val="22"/>
      </w:rPr>
      <w:tcPr>
        <w:shd w:val="clear" w:color="f2f2f2" w:fill="f2f2f2"/>
      </w:tcPr>
    </w:tblStylePr>
    <w:tblStylePr w:type="band1Vert">
      <w:tcPr>
        <w:shd w:val="clear" w:color="f2f2f2" w:fill="f2f2f2"/>
      </w:tcPr>
    </w:tblStylePr>
    <w:tblStylePr w:type="band2Horz">
      <w:rPr>
        <w:rFonts w:ascii="Helvetica" w:hAnsi="Helvetica"/>
        <w:color w:val="7f7f7f"/>
        <w:sz w:val="22"/>
      </w:rPr>
    </w:tblStylePr>
    <w:tblStylePr w:type="firstCol">
      <w:rPr>
        <w:rFonts w:ascii="Helvetica" w:hAnsi="Helvetica"/>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Helvetica" w:hAnsi="Helvetica"/>
        <w:b/>
        <w:color w:val="7f7f7f"/>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Helvetica" w:hAnsi="Helvetica"/>
        <w:i/>
        <w:color w:val="7f7f7f"/>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7f7f7f"/>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7 Colorful - Accent 1"/>
    <w:basedOn w:val="751"/>
    <w:uiPriority w:val="99"/>
    <w:qFormat/>
    <w:rPr>
      <w:rFonts w:ascii="Times New Roman" w:hAnsi="Times New Roman" w:eastAsia="宋体" w:cs="Times New Roman"/>
    </w:rPr>
    <w:tblPr>
      <w:tblBorders>
        <w:bottom w:val="single" w:color="ACCCEA" w:sz="4" w:space="0"/>
        <w:right w:val="single" w:color="ACCCEA" w:sz="4" w:space="0"/>
        <w:insideH w:val="single" w:color="ACCCEA" w:sz="4" w:space="0"/>
        <w:insideV w:val="single" w:color="ACCCEA" w:sz="4" w:space="0"/>
      </w:tblBorders>
    </w:tblPr>
    <w:tblStylePr w:type="band1Horz">
      <w:rPr>
        <w:rFonts w:ascii="Helvetica" w:hAnsi="Helvetica"/>
        <w:color w:val="acccea"/>
        <w:sz w:val="22"/>
      </w:rPr>
      <w:tcPr>
        <w:shd w:val="clear" w:color="ddeaf6" w:fill="ddeaf6"/>
      </w:tcPr>
    </w:tblStylePr>
    <w:tblStylePr w:type="band1Vert">
      <w:tcPr>
        <w:shd w:val="clear" w:color="ddeaf6" w:fill="ddeaf6"/>
      </w:tcPr>
    </w:tblStylePr>
    <w:tblStylePr w:type="band2Horz">
      <w:rPr>
        <w:rFonts w:ascii="Helvetica" w:hAnsi="Helvetica"/>
        <w:color w:val="acccea"/>
        <w:sz w:val="22"/>
      </w:rPr>
    </w:tblStylePr>
    <w:tblStylePr w:type="firstCol">
      <w:rPr>
        <w:rFonts w:ascii="Helvetica" w:hAnsi="Helvetica"/>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insideH w:val="none" w:color="000000" w:sz="4" w:space="0"/>
          <w:insideV w:val="none" w:color="000000" w:sz="4" w:space="0"/>
        </w:tcBorders>
      </w:tcPr>
    </w:tblStylePr>
    <w:tblStylePr w:type="firstRow">
      <w:rPr>
        <w:rFonts w:ascii="Helvetica" w:hAnsi="Helvetica"/>
        <w:b/>
        <w:color w:val="acccea"/>
        <w:sz w:val="22"/>
      </w:rPr>
      <w:tcPr>
        <w:shd w:val="clear" w:color="ffffff" w:fill="ffffff"/>
        <w:tcBorders>
          <w:top w:val="none" w:color="000000" w:sz="4" w:space="0"/>
          <w:left w:val="none" w:color="000000" w:sz="4" w:space="0"/>
          <w:bottom w:val="single" w:color="ACCCEA" w:sz="4" w:space="0"/>
          <w:right w:val="none" w:color="000000" w:sz="4" w:space="0"/>
          <w:insideH w:val="none" w:color="000000" w:sz="4" w:space="0"/>
          <w:insideV w:val="none" w:color="000000" w:sz="4" w:space="0"/>
        </w:tcBorders>
      </w:tcPr>
    </w:tblStylePr>
    <w:tblStylePr w:type="lastCol">
      <w:rPr>
        <w:rFonts w:ascii="Helvetica" w:hAnsi="Helvetica"/>
        <w:i/>
        <w:color w:val="acccea"/>
        <w:sz w:val="22"/>
      </w:rPr>
      <w:tcPr>
        <w:shd w:val="clear" w:color="ffffff" w:fill="auto"/>
        <w:tcBorders>
          <w:top w:val="none" w:color="000000" w:sz="4" w:space="0"/>
          <w:left w:val="single" w:color="ACCCEA"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acccea"/>
        <w:sz w:val="22"/>
      </w:rPr>
      <w:tcPr>
        <w:shd w:val="clear" w:color="ffffff" w:fill="ffffff"/>
        <w:tcBorders>
          <w:top w:val="single" w:color="ACCCEA"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7 Colorful - Accent 2"/>
    <w:basedOn w:val="751"/>
    <w:uiPriority w:val="99"/>
    <w:qFormat/>
    <w:rPr>
      <w:rFonts w:ascii="Times New Roman" w:hAnsi="Times New Roman" w:eastAsia="宋体" w:cs="Times New Roman"/>
    </w:rPr>
    <w:tblPr>
      <w:tblBorders>
        <w:bottom w:val="single" w:color="F4B184" w:sz="4" w:space="0"/>
        <w:right w:val="single" w:color="F4B184" w:sz="4" w:space="0"/>
        <w:insideH w:val="single" w:color="F4B184" w:sz="4" w:space="0"/>
        <w:insideV w:val="single" w:color="F4B184" w:sz="4" w:space="0"/>
      </w:tblBorders>
    </w:tblPr>
    <w:tblStylePr w:type="band1Horz">
      <w:rPr>
        <w:rFonts w:ascii="Helvetica" w:hAnsi="Helvetica"/>
        <w:color w:val="f4b184"/>
        <w:sz w:val="22"/>
      </w:rPr>
      <w:tcPr>
        <w:shd w:val="clear" w:color="fbe5d6" w:fill="fbe5d6"/>
      </w:tcPr>
    </w:tblStylePr>
    <w:tblStylePr w:type="band1Vert">
      <w:tcPr>
        <w:shd w:val="clear" w:color="fbe5d6" w:fill="fbe5d6"/>
      </w:tcPr>
    </w:tblStylePr>
    <w:tblStylePr w:type="band2Horz">
      <w:rPr>
        <w:rFonts w:ascii="Helvetica" w:hAnsi="Helvetica"/>
        <w:color w:val="f4b184"/>
        <w:sz w:val="22"/>
      </w:rPr>
    </w:tblStylePr>
    <w:tblStylePr w:type="firstCol">
      <w:rPr>
        <w:rFonts w:ascii="Helvetica" w:hAnsi="Helvetica"/>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insideH w:val="none" w:color="000000" w:sz="4" w:space="0"/>
          <w:insideV w:val="none" w:color="000000" w:sz="4" w:space="0"/>
        </w:tcBorders>
      </w:tcPr>
    </w:tblStylePr>
    <w:tblStylePr w:type="firstRow">
      <w:rPr>
        <w:rFonts w:ascii="Helvetica" w:hAnsi="Helvetica"/>
        <w:b/>
        <w:color w:val="f4b184"/>
        <w:sz w:val="22"/>
      </w:rPr>
      <w:tcPr>
        <w:shd w:val="clear" w:color="ffffff" w:fill="ffffff"/>
        <w:tcBorders>
          <w:top w:val="none" w:color="000000" w:sz="4" w:space="0"/>
          <w:left w:val="none" w:color="000000" w:sz="4" w:space="0"/>
          <w:bottom w:val="single" w:color="F4B184" w:sz="4" w:space="0"/>
          <w:right w:val="none" w:color="000000" w:sz="4" w:space="0"/>
          <w:insideH w:val="none" w:color="000000" w:sz="4" w:space="0"/>
          <w:insideV w:val="none" w:color="000000" w:sz="4" w:space="0"/>
        </w:tcBorders>
      </w:tcPr>
    </w:tblStylePr>
    <w:tblStylePr w:type="lastCol">
      <w:rPr>
        <w:rFonts w:ascii="Helvetica" w:hAnsi="Helvetica"/>
        <w:i/>
        <w:color w:val="f4b184"/>
        <w:sz w:val="22"/>
      </w:rPr>
      <w:tcPr>
        <w:shd w:val="clear" w:color="ffffff" w:fill="auto"/>
        <w:tcBorders>
          <w:top w:val="none" w:color="000000" w:sz="4" w:space="0"/>
          <w:left w:val="single" w:color="F4B184"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f4b184"/>
        <w:sz w:val="22"/>
      </w:rPr>
      <w:tcPr>
        <w:shd w:val="clear" w:color="ffffff" w:fill="ffffff"/>
        <w:tcBorders>
          <w:top w:val="single" w:color="F4B18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7 Colorful - Accent 3"/>
    <w:basedOn w:val="751"/>
    <w:uiPriority w:val="99"/>
    <w:qFormat/>
    <w:rPr>
      <w:rFonts w:ascii="Times New Roman" w:hAnsi="Times New Roman" w:eastAsia="宋体" w:cs="Times New Roman"/>
    </w:rPr>
    <w:tblPr>
      <w:tblBorders>
        <w:bottom w:val="single" w:color="A5A5A5" w:sz="4" w:space="0"/>
        <w:right w:val="single" w:color="A5A5A5" w:sz="4" w:space="0"/>
        <w:insideH w:val="single" w:color="A5A5A5" w:sz="4" w:space="0"/>
        <w:insideV w:val="single" w:color="A5A5A5" w:sz="4" w:space="0"/>
      </w:tblBorders>
    </w:tblPr>
    <w:tblStylePr w:type="band1Horz">
      <w:rPr>
        <w:rFonts w:ascii="Helvetica" w:hAnsi="Helvetica"/>
        <w:color w:val="a5a5a5"/>
        <w:sz w:val="22"/>
      </w:rPr>
      <w:tcPr>
        <w:shd w:val="clear" w:color="ececec" w:fill="ececec"/>
      </w:tcPr>
    </w:tblStylePr>
    <w:tblStylePr w:type="band1Vert">
      <w:tcPr>
        <w:shd w:val="clear" w:color="ececec" w:fill="ececec"/>
      </w:tcPr>
    </w:tblStylePr>
    <w:tblStylePr w:type="band2Horz">
      <w:rPr>
        <w:rFonts w:ascii="Helvetica" w:hAnsi="Helvetica"/>
        <w:color w:val="a5a5a5"/>
        <w:sz w:val="22"/>
      </w:rPr>
    </w:tblStylePr>
    <w:tblStylePr w:type="firstCol">
      <w:rPr>
        <w:rFonts w:ascii="Helvetica" w:hAnsi="Helvetica"/>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Helvetica" w:hAnsi="Helvetica"/>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Helvetica" w:hAnsi="Helvetica"/>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7 Colorful - Accent 4"/>
    <w:basedOn w:val="751"/>
    <w:uiPriority w:val="99"/>
    <w:qFormat/>
    <w:rPr>
      <w:rFonts w:ascii="Times New Roman" w:hAnsi="Times New Roman" w:eastAsia="宋体" w:cs="Times New Roman"/>
    </w:rPr>
    <w:tblPr>
      <w:tblBorders>
        <w:bottom w:val="single" w:color="FFD865" w:sz="4" w:space="0"/>
        <w:right w:val="single" w:color="FFD865" w:sz="4" w:space="0"/>
        <w:insideH w:val="single" w:color="FFD865" w:sz="4" w:space="0"/>
        <w:insideV w:val="single" w:color="FFD865" w:sz="4" w:space="0"/>
      </w:tblBorders>
    </w:tblPr>
    <w:tblStylePr w:type="band1Horz">
      <w:rPr>
        <w:rFonts w:ascii="Helvetica" w:hAnsi="Helvetica"/>
        <w:color w:val="ffd865"/>
        <w:sz w:val="22"/>
      </w:rPr>
      <w:tcPr>
        <w:shd w:val="clear" w:color="fff2cb" w:fill="fff2cb"/>
      </w:tcPr>
    </w:tblStylePr>
    <w:tblStylePr w:type="band1Vert">
      <w:tcPr>
        <w:shd w:val="clear" w:color="fff2cb" w:fill="fff2cb"/>
      </w:tcPr>
    </w:tblStylePr>
    <w:tblStylePr w:type="band2Horz">
      <w:rPr>
        <w:rFonts w:ascii="Helvetica" w:hAnsi="Helvetica"/>
        <w:color w:val="ffd865"/>
        <w:sz w:val="22"/>
      </w:rPr>
    </w:tblStylePr>
    <w:tblStylePr w:type="firstCol">
      <w:rPr>
        <w:rFonts w:ascii="Helvetica" w:hAnsi="Helvetica"/>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insideH w:val="none" w:color="000000" w:sz="4" w:space="0"/>
          <w:insideV w:val="none" w:color="000000" w:sz="4" w:space="0"/>
        </w:tcBorders>
      </w:tcPr>
    </w:tblStylePr>
    <w:tblStylePr w:type="firstRow">
      <w:rPr>
        <w:rFonts w:ascii="Helvetica" w:hAnsi="Helvetica"/>
        <w:b/>
        <w:color w:val="ffd865"/>
        <w:sz w:val="22"/>
      </w:rPr>
      <w:tcPr>
        <w:shd w:val="clear" w:color="ffffff" w:fill="ffffff"/>
        <w:tcBorders>
          <w:top w:val="none" w:color="000000" w:sz="4" w:space="0"/>
          <w:left w:val="none" w:color="000000" w:sz="4" w:space="0"/>
          <w:bottom w:val="single" w:color="FFD865" w:sz="4" w:space="0"/>
          <w:right w:val="none" w:color="000000" w:sz="4" w:space="0"/>
          <w:insideH w:val="none" w:color="000000" w:sz="4" w:space="0"/>
          <w:insideV w:val="none" w:color="000000" w:sz="4" w:space="0"/>
        </w:tcBorders>
      </w:tcPr>
    </w:tblStylePr>
    <w:tblStylePr w:type="lastCol">
      <w:rPr>
        <w:rFonts w:ascii="Helvetica" w:hAnsi="Helvetica"/>
        <w:i/>
        <w:color w:val="ffd865"/>
        <w:sz w:val="22"/>
      </w:rPr>
      <w:tcPr>
        <w:shd w:val="clear" w:color="ffffff" w:fill="auto"/>
        <w:tcBorders>
          <w:top w:val="none" w:color="000000" w:sz="4" w:space="0"/>
          <w:left w:val="single" w:color="FFD86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ffd865"/>
        <w:sz w:val="22"/>
      </w:rPr>
      <w:tcPr>
        <w:shd w:val="clear" w:color="ffffff" w:fill="ffffff"/>
        <w:tcBorders>
          <w:top w:val="single" w:color="FFD86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7 Colorful - Accent 5"/>
    <w:basedOn w:val="751"/>
    <w:uiPriority w:val="99"/>
    <w:qFormat/>
    <w:rPr>
      <w:rFonts w:ascii="Times New Roman" w:hAnsi="Times New Roman" w:eastAsia="宋体" w:cs="Times New Roman"/>
    </w:rPr>
    <w:tblPr>
      <w:tblBorders>
        <w:bottom w:val="single" w:color="95AFDD" w:sz="4" w:space="0"/>
        <w:right w:val="single" w:color="95AFDD" w:sz="4" w:space="0"/>
        <w:insideH w:val="single" w:color="95AFDD" w:sz="4" w:space="0"/>
        <w:insideV w:val="single" w:color="95AFDD" w:sz="4" w:space="0"/>
      </w:tblBorders>
    </w:tblPr>
    <w:tblStylePr w:type="band1Horz">
      <w:rPr>
        <w:rFonts w:ascii="Helvetica" w:hAnsi="Helvetica"/>
        <w:color w:val="254175"/>
        <w:sz w:val="22"/>
      </w:rPr>
      <w:tcPr>
        <w:shd w:val="clear" w:color="d8e2f3" w:fill="d8e2f3"/>
      </w:tcPr>
    </w:tblStylePr>
    <w:tblStylePr w:type="band1Vert">
      <w:tcPr>
        <w:shd w:val="clear" w:color="d8e2f3" w:fill="d8e2f3"/>
      </w:tcPr>
    </w:tblStylePr>
    <w:tblStylePr w:type="band2Horz">
      <w:rPr>
        <w:rFonts w:ascii="Helvetica" w:hAnsi="Helvetica"/>
        <w:color w:val="254175"/>
        <w:sz w:val="22"/>
      </w:rPr>
    </w:tblStylePr>
    <w:tblStylePr w:type="firstCol">
      <w:rPr>
        <w:rFonts w:ascii="Helvetica" w:hAnsi="Helvetica"/>
        <w:i/>
        <w:color w:val="254175"/>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Helvetica" w:hAnsi="Helvetica"/>
        <w:b/>
        <w:color w:val="254175"/>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Helvetica" w:hAnsi="Helvetica"/>
        <w:i/>
        <w:color w:val="254175"/>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254175"/>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7 Colorful - Accent 6"/>
    <w:basedOn w:val="751"/>
    <w:uiPriority w:val="99"/>
    <w:qFormat/>
    <w:rPr>
      <w:rFonts w:ascii="Times New Roman" w:hAnsi="Times New Roman" w:eastAsia="宋体" w:cs="Times New Roman"/>
    </w:rPr>
    <w:tblPr>
      <w:tblBorders>
        <w:bottom w:val="single" w:color="ADD394" w:sz="4" w:space="0"/>
        <w:right w:val="single" w:color="ADD394" w:sz="4" w:space="0"/>
        <w:insideH w:val="single" w:color="ADD394" w:sz="4" w:space="0"/>
        <w:insideV w:val="single" w:color="ADD394" w:sz="4" w:space="0"/>
      </w:tblBorders>
    </w:tblPr>
    <w:tblStylePr w:type="band1Horz">
      <w:rPr>
        <w:rFonts w:ascii="Helvetica" w:hAnsi="Helvetica"/>
        <w:color w:val="416429"/>
        <w:sz w:val="22"/>
      </w:rPr>
      <w:tcPr>
        <w:shd w:val="clear" w:color="e1efd8" w:fill="e1efd8"/>
      </w:tcPr>
    </w:tblStylePr>
    <w:tblStylePr w:type="band1Vert">
      <w:tcPr>
        <w:shd w:val="clear" w:color="e1efd8" w:fill="e1efd8"/>
      </w:tcPr>
    </w:tblStylePr>
    <w:tblStylePr w:type="band2Horz">
      <w:rPr>
        <w:rFonts w:ascii="Helvetica" w:hAnsi="Helvetica"/>
        <w:color w:val="416429"/>
        <w:sz w:val="22"/>
      </w:rPr>
    </w:tblStylePr>
    <w:tblStylePr w:type="firstCol">
      <w:rPr>
        <w:rFonts w:ascii="Helvetica" w:hAnsi="Helvetica"/>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Helvetica" w:hAnsi="Helvetica"/>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Helvetica" w:hAnsi="Helvetica"/>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清单表 1 浅色1"/>
    <w:basedOn w:val="751"/>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1 Light - Accent 1"/>
    <w:basedOn w:val="751"/>
    <w:uiPriority w:val="99"/>
    <w:qFormat/>
    <w:rPr>
      <w:rFonts w:ascii="Times New Roman" w:hAnsi="Times New Roman" w:eastAsia="宋体" w:cs="Times New Roman"/>
    </w:rP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1 Light - Accent 2"/>
    <w:basedOn w:val="751"/>
    <w:uiPriority w:val="99"/>
    <w:qFormat/>
    <w:rPr>
      <w:rFonts w:ascii="Times New Roman" w:hAnsi="Times New Roman" w:eastAsia="宋体" w:cs="Times New Roman"/>
    </w:rP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List Table 1 Light - Accent 3"/>
    <w:basedOn w:val="751"/>
    <w:uiPriority w:val="99"/>
    <w:qFormat/>
    <w:rPr>
      <w:rFonts w:ascii="Times New Roman" w:hAnsi="Times New Roman" w:eastAsia="宋体" w:cs="Times New Roman"/>
    </w:rP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List Table 1 Light - Accent 4"/>
    <w:basedOn w:val="751"/>
    <w:uiPriority w:val="99"/>
    <w:qFormat/>
    <w:rPr>
      <w:rFonts w:ascii="Times New Roman" w:hAnsi="Times New Roman" w:eastAsia="宋体" w:cs="Times New Roman"/>
    </w:rP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List Table 1 Light - Accent 5"/>
    <w:basedOn w:val="751"/>
    <w:uiPriority w:val="99"/>
    <w:qFormat/>
    <w:rPr>
      <w:rFonts w:ascii="Times New Roman" w:hAnsi="Times New Roman" w:eastAsia="宋体" w:cs="Times New Roman"/>
    </w:rP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List Table 1 Light - Accent 6"/>
    <w:basedOn w:val="751"/>
    <w:uiPriority w:val="99"/>
    <w:qFormat/>
    <w:rPr>
      <w:rFonts w:ascii="Times New Roman" w:hAnsi="Times New Roman" w:eastAsia="宋体" w:cs="Times New Roman"/>
    </w:rP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清单表 21"/>
    <w:basedOn w:val="751"/>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Helvetica" w:hAnsi="Helvetica"/>
        <w:color w:val="404040"/>
        <w:sz w:val="22"/>
      </w:rPr>
      <w:tcPr>
        <w:shd w:val="clear" w:color="bfbfbf" w:fill="bfbfbf"/>
      </w:tcPr>
    </w:tblStylePr>
    <w:tblStylePr w:type="band1Vert">
      <w:rPr>
        <w:rFonts w:ascii="Helvetica" w:hAnsi="Helvetica"/>
        <w:color w:val="404040"/>
        <w:sz w:val="22"/>
      </w:rPr>
      <w:tcPr>
        <w:shd w:val="clear" w:color="bfbfbf" w:fill="bfbfbf"/>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style>
  <w:style w:type="table" w:styleId="896" w:customStyle="1">
    <w:name w:val="List Table 2 - Accent 1"/>
    <w:basedOn w:val="751"/>
    <w:uiPriority w:val="99"/>
    <w:qFormat/>
    <w:rPr>
      <w:rFonts w:ascii="Times New Roman" w:hAnsi="Times New Roman" w:eastAsia="宋体" w:cs="Times New Roman"/>
    </w:rPr>
    <w:tblPr>
      <w:tblBorders>
        <w:top w:val="single" w:color="A2C6E7" w:sz="4" w:space="0"/>
        <w:bottom w:val="single" w:color="A2C6E7" w:sz="4" w:space="0"/>
        <w:insideH w:val="single" w:color="A2C6E7" w:sz="4" w:space="0"/>
      </w:tblBorders>
    </w:tblPr>
    <w:tblStylePr w:type="band1Horz">
      <w:rPr>
        <w:rFonts w:ascii="Helvetica" w:hAnsi="Helvetica"/>
        <w:color w:val="404040"/>
        <w:sz w:val="22"/>
      </w:rPr>
      <w:tcPr>
        <w:shd w:val="clear" w:color="d5e5f4" w:fill="d5e5f4"/>
      </w:tcPr>
    </w:tblStylePr>
    <w:tblStylePr w:type="band1Vert">
      <w:rPr>
        <w:rFonts w:ascii="Helvetica" w:hAnsi="Helvetica"/>
        <w:color w:val="404040"/>
        <w:sz w:val="22"/>
      </w:rPr>
      <w:tcPr>
        <w:shd w:val="clear" w:color="d5e5f4" w:fill="d5e5f4"/>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897" w:customStyle="1">
    <w:name w:val="List Table 2 - Accent 2"/>
    <w:basedOn w:val="751"/>
    <w:uiPriority w:val="99"/>
    <w:qFormat/>
    <w:rPr>
      <w:rFonts w:ascii="Times New Roman" w:hAnsi="Times New Roman" w:eastAsia="宋体" w:cs="Times New Roman"/>
    </w:rPr>
    <w:tblPr>
      <w:tblBorders>
        <w:top w:val="single" w:color="F4B58A" w:sz="4" w:space="0"/>
        <w:bottom w:val="single" w:color="F4B58A" w:sz="4" w:space="0"/>
        <w:insideH w:val="single" w:color="F4B58A" w:sz="4" w:space="0"/>
      </w:tblBorders>
    </w:tblPr>
    <w:tblStylePr w:type="band1Horz">
      <w:rPr>
        <w:rFonts w:ascii="Helvetica" w:hAnsi="Helvetica"/>
        <w:color w:val="404040"/>
        <w:sz w:val="22"/>
      </w:rPr>
      <w:tcPr>
        <w:shd w:val="clear" w:color="fadecb" w:fill="fadecb"/>
      </w:tcPr>
    </w:tblStylePr>
    <w:tblStylePr w:type="band1Vert">
      <w:rPr>
        <w:rFonts w:ascii="Helvetica" w:hAnsi="Helvetica"/>
        <w:color w:val="404040"/>
        <w:sz w:val="22"/>
      </w:rPr>
      <w:tcPr>
        <w:shd w:val="clear" w:color="fadecb" w:fill="fadecb"/>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898" w:customStyle="1">
    <w:name w:val="List Table 2 - Accent 3"/>
    <w:basedOn w:val="751"/>
    <w:uiPriority w:val="99"/>
    <w:qFormat/>
    <w:rPr>
      <w:rFonts w:ascii="Times New Roman" w:hAnsi="Times New Roman" w:eastAsia="宋体" w:cs="Times New Roman"/>
    </w:rPr>
    <w:tblPr>
      <w:tblBorders>
        <w:top w:val="single" w:color="CCCCCC" w:sz="4" w:space="0"/>
        <w:bottom w:val="single" w:color="CCCCCC" w:sz="4" w:space="0"/>
        <w:insideH w:val="single" w:color="CCCCCC" w:sz="4" w:space="0"/>
      </w:tblBorders>
    </w:tblPr>
    <w:tblStylePr w:type="band1Horz">
      <w:rPr>
        <w:rFonts w:ascii="Helvetica" w:hAnsi="Helvetica"/>
        <w:color w:val="404040"/>
        <w:sz w:val="22"/>
      </w:rPr>
      <w:tcPr>
        <w:shd w:val="clear" w:color="e8e8e8" w:fill="e8e8e8"/>
      </w:tcPr>
    </w:tblStylePr>
    <w:tblStylePr w:type="band1Vert">
      <w:rPr>
        <w:rFonts w:ascii="Helvetica" w:hAnsi="Helvetica"/>
        <w:color w:val="404040"/>
        <w:sz w:val="22"/>
      </w:rPr>
      <w:tcPr>
        <w:shd w:val="clear" w:color="e8e8e8" w:fill="e8e8e8"/>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899" w:customStyle="1">
    <w:name w:val="List Table 2 - Accent 4"/>
    <w:basedOn w:val="751"/>
    <w:uiPriority w:val="99"/>
    <w:qFormat/>
    <w:rPr>
      <w:rFonts w:ascii="Times New Roman" w:hAnsi="Times New Roman" w:eastAsia="宋体" w:cs="Times New Roman"/>
    </w:rPr>
    <w:tblPr>
      <w:tblBorders>
        <w:top w:val="single" w:color="FFDB6F" w:sz="4" w:space="0"/>
        <w:bottom w:val="single" w:color="FFDB6F" w:sz="4" w:space="0"/>
        <w:insideH w:val="single" w:color="FFDB6F" w:sz="4" w:space="0"/>
      </w:tblBorders>
    </w:tblPr>
    <w:tblStylePr w:type="band1Horz">
      <w:rPr>
        <w:rFonts w:ascii="Helvetica" w:hAnsi="Helvetica"/>
        <w:color w:val="404040"/>
        <w:sz w:val="22"/>
      </w:rPr>
      <w:tcPr>
        <w:shd w:val="clear" w:color="ffefbf" w:fill="ffefbf"/>
      </w:tcPr>
    </w:tblStylePr>
    <w:tblStylePr w:type="band1Vert">
      <w:rPr>
        <w:rFonts w:ascii="Helvetica" w:hAnsi="Helvetica"/>
        <w:color w:val="404040"/>
        <w:sz w:val="22"/>
      </w:rPr>
      <w:tcPr>
        <w:shd w:val="clear" w:color="ffefbf" w:fill="ffefbf"/>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FFDB6F" w:sz="4" w:space="0"/>
          <w:left w:val="none" w:color="000000" w:sz="4" w:space="0"/>
          <w:bottom w:val="single" w:color="FFDB6F"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FFDB6F" w:sz="4" w:space="0"/>
          <w:left w:val="none" w:color="000000" w:sz="4" w:space="0"/>
          <w:bottom w:val="single" w:color="FFDB6F" w:sz="4" w:space="0"/>
          <w:right w:val="none" w:color="000000" w:sz="4" w:space="0"/>
          <w:insideH w:val="none" w:color="000000" w:sz="4" w:space="0"/>
          <w:insideV w:val="none" w:color="000000" w:sz="4" w:space="0"/>
        </w:tcBorders>
      </w:tcPr>
    </w:tblStylePr>
  </w:style>
  <w:style w:type="table" w:styleId="900" w:customStyle="1">
    <w:name w:val="List Table 2 - Accent 5"/>
    <w:basedOn w:val="751"/>
    <w:uiPriority w:val="99"/>
    <w:qFormat/>
    <w:rPr>
      <w:rFonts w:ascii="Times New Roman" w:hAnsi="Times New Roman" w:eastAsia="宋体" w:cs="Times New Roman"/>
    </w:rPr>
    <w:tblPr>
      <w:tblBorders>
        <w:top w:val="single" w:color="95AFDD" w:sz="4" w:space="0"/>
        <w:bottom w:val="single" w:color="95AFDD" w:sz="4" w:space="0"/>
        <w:insideH w:val="single" w:color="95AFDD" w:sz="4" w:space="0"/>
      </w:tblBorders>
    </w:tblPr>
    <w:tblStylePr w:type="band1Horz">
      <w:rPr>
        <w:rFonts w:ascii="Helvetica" w:hAnsi="Helvetica"/>
        <w:color w:val="404040"/>
        <w:sz w:val="22"/>
      </w:rPr>
      <w:tcPr>
        <w:shd w:val="clear" w:color="cfdbf0" w:fill="cfdbf0"/>
      </w:tcPr>
    </w:tblStylePr>
    <w:tblStylePr w:type="band1Vert">
      <w:rPr>
        <w:rFonts w:ascii="Helvetica" w:hAnsi="Helvetica"/>
        <w:color w:val="404040"/>
        <w:sz w:val="22"/>
      </w:rPr>
      <w:tcPr>
        <w:shd w:val="clear" w:color="cfdbf0" w:fill="cfdbf0"/>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901" w:customStyle="1">
    <w:name w:val="List Table 2 - Accent 6"/>
    <w:basedOn w:val="751"/>
    <w:uiPriority w:val="99"/>
    <w:qFormat/>
    <w:rPr>
      <w:rFonts w:ascii="Times New Roman" w:hAnsi="Times New Roman" w:eastAsia="宋体" w:cs="Times New Roman"/>
    </w:rPr>
    <w:tblPr>
      <w:tblBorders>
        <w:top w:val="single" w:color="ADD394" w:sz="4" w:space="0"/>
        <w:bottom w:val="single" w:color="ADD394" w:sz="4" w:space="0"/>
        <w:insideH w:val="single" w:color="ADD394" w:sz="4" w:space="0"/>
      </w:tblBorders>
    </w:tblPr>
    <w:tblStylePr w:type="band1Horz">
      <w:rPr>
        <w:rFonts w:ascii="Helvetica" w:hAnsi="Helvetica"/>
        <w:color w:val="404040"/>
        <w:sz w:val="22"/>
      </w:rPr>
      <w:tcPr>
        <w:shd w:val="clear" w:color="daebcf" w:fill="daebcf"/>
      </w:tcPr>
    </w:tblStylePr>
    <w:tblStylePr w:type="band1Vert">
      <w:rPr>
        <w:rFonts w:ascii="Helvetica" w:hAnsi="Helvetica"/>
        <w:color w:val="404040"/>
        <w:sz w:val="22"/>
      </w:rPr>
      <w:tcPr>
        <w:shd w:val="clear" w:color="daebcf" w:fill="daebcf"/>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902" w:customStyle="1">
    <w:name w:val="清单表 31"/>
    <w:basedOn w:val="75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Helvetica" w:hAnsi="Helvetica"/>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903" w:customStyle="1">
    <w:name w:val="List Table 3 - Accent 1"/>
    <w:basedOn w:val="751"/>
    <w:uiPriority w:val="99"/>
    <w:qFormat/>
    <w:rPr>
      <w:rFonts w:ascii="Times New Roman" w:hAnsi="Times New Roman" w:eastAsia="宋体" w:cs="Times New Roman"/>
    </w:rPr>
    <w:tblPr>
      <w:tblBorders>
        <w:top w:val="single" w:color="5B9BD5" w:sz="4" w:space="0"/>
        <w:left w:val="single" w:color="5B9BD5" w:sz="4" w:space="0"/>
        <w:bottom w:val="single" w:color="5B9BD5" w:sz="4" w:space="0"/>
        <w:right w:val="single" w:color="5B9BD5" w:sz="4" w:space="0"/>
      </w:tblBorders>
    </w:tblPr>
    <w:tblStylePr w:type="band1Horz">
      <w:rPr>
        <w:rFonts w:ascii="Helvetica" w:hAnsi="Helvetica"/>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5b9bd5" w:fill="5b9bd5"/>
      </w:tcPr>
    </w:tblStylePr>
    <w:tblStylePr w:type="lastCol">
      <w:rPr>
        <w:b/>
        <w:color w:val="404040"/>
      </w:rPr>
    </w:tblStylePr>
    <w:tblStylePr w:type="lastRow">
      <w:rPr>
        <w:b/>
        <w:color w:val="404040"/>
      </w:rPr>
    </w:tblStylePr>
  </w:style>
  <w:style w:type="table" w:styleId="904" w:customStyle="1">
    <w:name w:val="List Table 3 - Accent 2"/>
    <w:basedOn w:val="751"/>
    <w:uiPriority w:val="99"/>
    <w:qFormat/>
    <w:rPr>
      <w:rFonts w:ascii="Times New Roman" w:hAnsi="Times New Roman" w:eastAsia="宋体" w:cs="Times New Roman"/>
    </w:rPr>
    <w:tblPr>
      <w:tblBorders>
        <w:top w:val="single" w:color="F4B184" w:sz="4" w:space="0"/>
        <w:left w:val="single" w:color="F4B184" w:sz="4" w:space="0"/>
        <w:bottom w:val="single" w:color="F4B184" w:sz="4" w:space="0"/>
        <w:right w:val="single" w:color="F4B184" w:sz="4" w:space="0"/>
      </w:tblBorders>
    </w:tblPr>
    <w:tblStylePr w:type="band1Horz">
      <w:rPr>
        <w:rFonts w:ascii="Helvetica" w:hAnsi="Helvetica"/>
        <w:color w:val="404040"/>
        <w:sz w:val="22"/>
      </w:rPr>
      <w:tcPr>
        <w:tcBorders>
          <w:top w:val="single" w:color="F4B184" w:sz="4" w:space="0"/>
          <w:left w:val="none" w:color="000000" w:sz="4" w:space="0"/>
          <w:bottom w:val="single" w:color="F4B184"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F4B184" w:sz="4" w:space="0"/>
          <w:bottom w:val="none" w:color="000000" w:sz="4" w:space="0"/>
          <w:right w:val="single" w:color="F4B184"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f4b184" w:fill="f4b184"/>
      </w:tcPr>
    </w:tblStylePr>
    <w:tblStylePr w:type="lastCol">
      <w:rPr>
        <w:b/>
        <w:color w:val="404040"/>
      </w:rPr>
    </w:tblStylePr>
    <w:tblStylePr w:type="lastRow">
      <w:rPr>
        <w:b/>
        <w:color w:val="404040"/>
      </w:rPr>
    </w:tblStylePr>
  </w:style>
  <w:style w:type="table" w:styleId="905" w:customStyle="1">
    <w:name w:val="List Table 3 - Accent 3"/>
    <w:basedOn w:val="751"/>
    <w:uiPriority w:val="99"/>
    <w:qFormat/>
    <w:rPr>
      <w:rFonts w:ascii="Times New Roman" w:hAnsi="Times New Roman" w:eastAsia="宋体" w:cs="Times New Roman"/>
    </w:rPr>
    <w:tblPr>
      <w:tblBorders>
        <w:top w:val="single" w:color="C9C9C9" w:sz="4" w:space="0"/>
        <w:left w:val="single" w:color="C9C9C9" w:sz="4" w:space="0"/>
        <w:bottom w:val="single" w:color="C9C9C9" w:sz="4" w:space="0"/>
        <w:right w:val="single" w:color="C9C9C9" w:sz="4" w:space="0"/>
      </w:tblBorders>
    </w:tblPr>
    <w:tblStylePr w:type="band1Horz">
      <w:rPr>
        <w:rFonts w:ascii="Helvetica" w:hAnsi="Helvetica"/>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c9c9c9" w:fill="c9c9c9"/>
      </w:tcPr>
    </w:tblStylePr>
    <w:tblStylePr w:type="lastCol">
      <w:rPr>
        <w:b/>
        <w:color w:val="404040"/>
      </w:rPr>
    </w:tblStylePr>
    <w:tblStylePr w:type="lastRow">
      <w:rPr>
        <w:b/>
        <w:color w:val="404040"/>
      </w:rPr>
    </w:tblStylePr>
  </w:style>
  <w:style w:type="table" w:styleId="906" w:customStyle="1">
    <w:name w:val="List Table 3 - Accent 4"/>
    <w:basedOn w:val="751"/>
    <w:uiPriority w:val="99"/>
    <w:qFormat/>
    <w:rPr>
      <w:rFonts w:ascii="Times New Roman" w:hAnsi="Times New Roman" w:eastAsia="宋体" w:cs="Times New Roman"/>
    </w:rPr>
    <w:tblPr>
      <w:tblBorders>
        <w:top w:val="single" w:color="FFD865" w:sz="4" w:space="0"/>
        <w:left w:val="single" w:color="FFD865" w:sz="4" w:space="0"/>
        <w:bottom w:val="single" w:color="FFD865" w:sz="4" w:space="0"/>
        <w:right w:val="single" w:color="FFD865" w:sz="4" w:space="0"/>
      </w:tblBorders>
    </w:tblPr>
    <w:tblStylePr w:type="band1Horz">
      <w:rPr>
        <w:rFonts w:ascii="Helvetica" w:hAnsi="Helvetica"/>
        <w:color w:val="404040"/>
        <w:sz w:val="22"/>
      </w:rPr>
      <w:tcPr>
        <w:tcBorders>
          <w:top w:val="single" w:color="FFD865" w:sz="4" w:space="0"/>
          <w:left w:val="none" w:color="000000" w:sz="4" w:space="0"/>
          <w:bottom w:val="single" w:color="FFD865"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FFD865" w:sz="4" w:space="0"/>
          <w:bottom w:val="none" w:color="000000" w:sz="4" w:space="0"/>
          <w:right w:val="single" w:color="FFD865"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ffd865" w:fill="ffd865"/>
      </w:tcPr>
    </w:tblStylePr>
    <w:tblStylePr w:type="lastCol">
      <w:rPr>
        <w:b/>
        <w:color w:val="404040"/>
      </w:rPr>
    </w:tblStylePr>
    <w:tblStylePr w:type="lastRow">
      <w:rPr>
        <w:b/>
        <w:color w:val="404040"/>
      </w:rPr>
    </w:tblStylePr>
  </w:style>
  <w:style w:type="table" w:styleId="907" w:customStyle="1">
    <w:name w:val="List Table 3 - Accent 5"/>
    <w:basedOn w:val="751"/>
    <w:uiPriority w:val="99"/>
    <w:qFormat/>
    <w:rPr>
      <w:rFonts w:ascii="Times New Roman" w:hAnsi="Times New Roman" w:eastAsia="宋体" w:cs="Times New Roman"/>
    </w:rPr>
    <w:tblPr>
      <w:tblBorders>
        <w:top w:val="single" w:color="8DA9DB" w:sz="4" w:space="0"/>
        <w:left w:val="single" w:color="8DA9DB" w:sz="4" w:space="0"/>
        <w:bottom w:val="single" w:color="8DA9DB" w:sz="4" w:space="0"/>
        <w:right w:val="single" w:color="8DA9DB" w:sz="4" w:space="0"/>
      </w:tblBorders>
    </w:tblPr>
    <w:tblStylePr w:type="band1Horz">
      <w:rPr>
        <w:rFonts w:ascii="Helvetica" w:hAnsi="Helvetica"/>
        <w:color w:val="404040"/>
        <w:sz w:val="22"/>
      </w:rPr>
      <w:tcPr>
        <w:tcBorders>
          <w:top w:val="single" w:color="8DA9DB" w:sz="4" w:space="0"/>
          <w:left w:val="none" w:color="000000" w:sz="4" w:space="0"/>
          <w:bottom w:val="single" w:color="8DA9DB"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8DA9DB" w:sz="4" w:space="0"/>
          <w:bottom w:val="none" w:color="000000" w:sz="4" w:space="0"/>
          <w:right w:val="single" w:color="8DA9DB"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8da9db" w:fill="8da9db"/>
      </w:tcPr>
    </w:tblStylePr>
    <w:tblStylePr w:type="lastCol">
      <w:rPr>
        <w:b/>
        <w:color w:val="404040"/>
      </w:rPr>
    </w:tblStylePr>
    <w:tblStylePr w:type="lastRow">
      <w:rPr>
        <w:b/>
        <w:color w:val="404040"/>
      </w:rPr>
    </w:tblStylePr>
  </w:style>
  <w:style w:type="table" w:styleId="908" w:customStyle="1">
    <w:name w:val="List Table 3 - Accent 6"/>
    <w:basedOn w:val="751"/>
    <w:uiPriority w:val="99"/>
    <w:qFormat/>
    <w:rPr>
      <w:rFonts w:ascii="Times New Roman" w:hAnsi="Times New Roman" w:eastAsia="宋体" w:cs="Times New Roman"/>
    </w:rPr>
    <w:tblPr>
      <w:tblBorders>
        <w:top w:val="single" w:color="A9D08E" w:sz="4" w:space="0"/>
        <w:left w:val="single" w:color="A9D08E" w:sz="4" w:space="0"/>
        <w:bottom w:val="single" w:color="A9D08E" w:sz="4" w:space="0"/>
        <w:right w:val="single" w:color="A9D08E" w:sz="4" w:space="0"/>
      </w:tblBorders>
    </w:tblPr>
    <w:tblStylePr w:type="band1Horz">
      <w:rPr>
        <w:rFonts w:ascii="Helvetica" w:hAnsi="Helvetica"/>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a9d08e" w:fill="a9d08e"/>
      </w:tcPr>
    </w:tblStylePr>
    <w:tblStylePr w:type="lastCol">
      <w:rPr>
        <w:b/>
        <w:color w:val="404040"/>
      </w:rPr>
    </w:tblStylePr>
    <w:tblStylePr w:type="lastRow">
      <w:rPr>
        <w:b/>
        <w:color w:val="404040"/>
      </w:rPr>
    </w:tblStylePr>
  </w:style>
  <w:style w:type="table" w:styleId="909" w:customStyle="1">
    <w:name w:val="清单表 41"/>
    <w:basedOn w:val="75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Helvetica" w:hAnsi="Helvetica"/>
        <w:color w:val="404040"/>
        <w:sz w:val="22"/>
      </w:rPr>
      <w:tcPr>
        <w:shd w:val="clear" w:color="bfbfbf" w:fill="bfbfbf"/>
      </w:tcPr>
    </w:tblStylePr>
    <w:tblStylePr w:type="band1Vert">
      <w:rPr>
        <w:rFonts w:ascii="Helvetica" w:hAnsi="Helvetica"/>
        <w:color w:val="404040"/>
        <w:sz w:val="22"/>
      </w:rPr>
      <w:tcPr>
        <w:shd w:val="clear" w:color="bfbfbf" w:fill="bfbfbf"/>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910" w:customStyle="1">
    <w:name w:val="List Table 4 - Accent 1"/>
    <w:basedOn w:val="751"/>
    <w:uiPriority w:val="99"/>
    <w:qFormat/>
    <w:rPr>
      <w:rFonts w:ascii="Times New Roman" w:hAnsi="Times New Roman"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Helvetica" w:hAnsi="Helvetica"/>
        <w:color w:val="404040"/>
        <w:sz w:val="22"/>
      </w:rPr>
      <w:tcPr>
        <w:shd w:val="clear" w:color="d5e5f4" w:fill="d5e5f4"/>
      </w:tcPr>
    </w:tblStylePr>
    <w:tblStylePr w:type="band1Vert">
      <w:rPr>
        <w:rFonts w:ascii="Helvetica" w:hAnsi="Helvetica"/>
        <w:color w:val="404040"/>
        <w:sz w:val="22"/>
      </w:rPr>
      <w:tcPr>
        <w:shd w:val="clear" w:color="d5e5f4" w:fill="d5e5f4"/>
      </w:tcPr>
    </w:tblStylePr>
    <w:tblStylePr w:type="firstCol">
      <w:rPr>
        <w:b/>
        <w:color w:val="404040"/>
      </w:rPr>
    </w:tblStylePr>
    <w:tblStylePr w:type="firstRow">
      <w:rPr>
        <w:rFonts w:ascii="Helvetica" w:hAnsi="Helvetica"/>
        <w:b/>
        <w:color w:val="ffffff"/>
        <w:sz w:val="22"/>
      </w:rPr>
      <w:tcPr>
        <w:shd w:val="clear" w:color="5b9bd5" w:fill="5b9bd5"/>
      </w:tcPr>
    </w:tblStylePr>
    <w:tblStylePr w:type="lastCol">
      <w:rPr>
        <w:b/>
        <w:color w:val="404040"/>
      </w:rPr>
    </w:tblStylePr>
    <w:tblStylePr w:type="lastRow">
      <w:rPr>
        <w:b/>
        <w:color w:val="404040"/>
      </w:rPr>
    </w:tblStylePr>
  </w:style>
  <w:style w:type="table" w:styleId="911" w:customStyle="1">
    <w:name w:val="List Table 4 - Accent 2"/>
    <w:basedOn w:val="751"/>
    <w:uiPriority w:val="99"/>
    <w:qFormat/>
    <w:rPr>
      <w:rFonts w:ascii="Times New Roman" w:hAnsi="Times New Roman"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Helvetica" w:hAnsi="Helvetica"/>
        <w:color w:val="404040"/>
        <w:sz w:val="22"/>
      </w:rPr>
      <w:tcPr>
        <w:shd w:val="clear" w:color="fadecb" w:fill="fadecb"/>
      </w:tcPr>
    </w:tblStylePr>
    <w:tblStylePr w:type="band1Vert">
      <w:rPr>
        <w:rFonts w:ascii="Helvetica" w:hAnsi="Helvetica"/>
        <w:color w:val="404040"/>
        <w:sz w:val="22"/>
      </w:rPr>
      <w:tcPr>
        <w:shd w:val="clear" w:color="fadecb" w:fill="fadecb"/>
      </w:tcPr>
    </w:tblStylePr>
    <w:tblStylePr w:type="firstCol">
      <w:rPr>
        <w:b/>
        <w:color w:val="404040"/>
      </w:rPr>
    </w:tblStylePr>
    <w:tblStylePr w:type="firstRow">
      <w:rPr>
        <w:rFonts w:ascii="Helvetica" w:hAnsi="Helvetica"/>
        <w:b/>
        <w:color w:val="ffffff"/>
        <w:sz w:val="22"/>
      </w:rPr>
      <w:tcPr>
        <w:shd w:val="clear" w:color="ed7d31" w:fill="ed7d31"/>
      </w:tcPr>
    </w:tblStylePr>
    <w:tblStylePr w:type="lastCol">
      <w:rPr>
        <w:b/>
        <w:color w:val="404040"/>
      </w:rPr>
    </w:tblStylePr>
    <w:tblStylePr w:type="lastRow">
      <w:rPr>
        <w:b/>
        <w:color w:val="404040"/>
      </w:rPr>
    </w:tblStylePr>
  </w:style>
  <w:style w:type="table" w:styleId="912" w:customStyle="1">
    <w:name w:val="List Table 4 - Accent 3"/>
    <w:basedOn w:val="751"/>
    <w:uiPriority w:val="99"/>
    <w:qFormat/>
    <w:rPr>
      <w:rFonts w:ascii="Times New Roman" w:hAnsi="Times New Roman"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Helvetica" w:hAnsi="Helvetica"/>
        <w:color w:val="404040"/>
        <w:sz w:val="22"/>
      </w:rPr>
      <w:tcPr>
        <w:shd w:val="clear" w:color="e8e8e8" w:fill="e8e8e8"/>
      </w:tcPr>
    </w:tblStylePr>
    <w:tblStylePr w:type="band1Vert">
      <w:rPr>
        <w:rFonts w:ascii="Helvetica" w:hAnsi="Helvetica"/>
        <w:color w:val="404040"/>
        <w:sz w:val="22"/>
      </w:rPr>
      <w:tcPr>
        <w:shd w:val="clear" w:color="e8e8e8" w:fill="e8e8e8"/>
      </w:tcPr>
    </w:tblStylePr>
    <w:tblStylePr w:type="firstCol">
      <w:rPr>
        <w:b/>
        <w:color w:val="404040"/>
      </w:rPr>
    </w:tblStylePr>
    <w:tblStylePr w:type="firstRow">
      <w:rPr>
        <w:rFonts w:ascii="Helvetica" w:hAnsi="Helvetica"/>
        <w:b/>
        <w:color w:val="ffffff"/>
        <w:sz w:val="22"/>
      </w:rPr>
      <w:tcPr>
        <w:shd w:val="clear" w:color="a5a5a5" w:fill="a5a5a5"/>
      </w:tcPr>
    </w:tblStylePr>
    <w:tblStylePr w:type="lastCol">
      <w:rPr>
        <w:b/>
        <w:color w:val="404040"/>
      </w:rPr>
    </w:tblStylePr>
    <w:tblStylePr w:type="lastRow">
      <w:rPr>
        <w:b/>
        <w:color w:val="404040"/>
      </w:rPr>
    </w:tblStylePr>
  </w:style>
  <w:style w:type="table" w:styleId="913" w:customStyle="1">
    <w:name w:val="List Table 4 - Accent 4"/>
    <w:basedOn w:val="751"/>
    <w:uiPriority w:val="99"/>
    <w:qFormat/>
    <w:rPr>
      <w:rFonts w:ascii="Times New Roman" w:hAnsi="Times New Roman" w:eastAsia="宋体" w:cs="Times New Roman"/>
    </w:rPr>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Helvetica" w:hAnsi="Helvetica"/>
        <w:color w:val="404040"/>
        <w:sz w:val="22"/>
      </w:rPr>
      <w:tcPr>
        <w:shd w:val="clear" w:color="ffefbf" w:fill="ffefbf"/>
      </w:tcPr>
    </w:tblStylePr>
    <w:tblStylePr w:type="band1Vert">
      <w:rPr>
        <w:rFonts w:ascii="Helvetica" w:hAnsi="Helvetica"/>
        <w:color w:val="404040"/>
        <w:sz w:val="22"/>
      </w:rPr>
      <w:tcPr>
        <w:shd w:val="clear" w:color="ffefbf" w:fill="ffefbf"/>
      </w:tcPr>
    </w:tblStylePr>
    <w:tblStylePr w:type="firstCol">
      <w:rPr>
        <w:b/>
        <w:color w:val="404040"/>
      </w:rPr>
    </w:tblStylePr>
    <w:tblStylePr w:type="firstRow">
      <w:rPr>
        <w:rFonts w:ascii="Helvetica" w:hAnsi="Helvetica"/>
        <w:b/>
        <w:color w:val="ffffff"/>
        <w:sz w:val="22"/>
      </w:rPr>
      <w:tcPr>
        <w:shd w:val="clear" w:color="ffc000" w:fill="ffc000"/>
      </w:tcPr>
    </w:tblStylePr>
    <w:tblStylePr w:type="lastCol">
      <w:rPr>
        <w:b/>
        <w:color w:val="404040"/>
      </w:rPr>
    </w:tblStylePr>
    <w:tblStylePr w:type="lastRow">
      <w:rPr>
        <w:b/>
        <w:color w:val="404040"/>
      </w:rPr>
    </w:tblStylePr>
  </w:style>
  <w:style w:type="table" w:styleId="914" w:customStyle="1">
    <w:name w:val="List Table 4 - Accent 5"/>
    <w:basedOn w:val="751"/>
    <w:uiPriority w:val="99"/>
    <w:qFormat/>
    <w:rPr>
      <w:rFonts w:ascii="Times New Roman" w:hAnsi="Times New Roman"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Helvetica" w:hAnsi="Helvetica"/>
        <w:color w:val="404040"/>
        <w:sz w:val="22"/>
      </w:rPr>
      <w:tcPr>
        <w:shd w:val="clear" w:color="cfdbf0" w:fill="cfdbf0"/>
      </w:tcPr>
    </w:tblStylePr>
    <w:tblStylePr w:type="band1Vert">
      <w:rPr>
        <w:rFonts w:ascii="Helvetica" w:hAnsi="Helvetica"/>
        <w:color w:val="404040"/>
        <w:sz w:val="22"/>
      </w:rPr>
      <w:tcPr>
        <w:shd w:val="clear" w:color="cfdbf0" w:fill="cfdbf0"/>
      </w:tcPr>
    </w:tblStylePr>
    <w:tblStylePr w:type="firstCol">
      <w:rPr>
        <w:b/>
        <w:color w:val="404040"/>
      </w:rPr>
    </w:tblStylePr>
    <w:tblStylePr w:type="firstRow">
      <w:rPr>
        <w:rFonts w:ascii="Helvetica" w:hAnsi="Helvetica"/>
        <w:b/>
        <w:color w:val="ffffff"/>
        <w:sz w:val="22"/>
      </w:rPr>
      <w:tcPr>
        <w:shd w:val="clear" w:color="4472c4" w:fill="4472c4"/>
      </w:tcPr>
    </w:tblStylePr>
    <w:tblStylePr w:type="lastCol">
      <w:rPr>
        <w:b/>
        <w:color w:val="404040"/>
      </w:rPr>
    </w:tblStylePr>
    <w:tblStylePr w:type="lastRow">
      <w:rPr>
        <w:b/>
        <w:color w:val="404040"/>
      </w:rPr>
    </w:tblStylePr>
  </w:style>
  <w:style w:type="table" w:styleId="915" w:customStyle="1">
    <w:name w:val="List Table 4 - Accent 6"/>
    <w:basedOn w:val="751"/>
    <w:uiPriority w:val="99"/>
    <w:qFormat/>
    <w:rPr>
      <w:rFonts w:ascii="Times New Roman" w:hAnsi="Times New Roman"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Helvetica" w:hAnsi="Helvetica"/>
        <w:color w:val="404040"/>
        <w:sz w:val="22"/>
      </w:rPr>
      <w:tcPr>
        <w:shd w:val="clear" w:color="daebcf" w:fill="daebcf"/>
      </w:tcPr>
    </w:tblStylePr>
    <w:tblStylePr w:type="band1Vert">
      <w:rPr>
        <w:rFonts w:ascii="Helvetica" w:hAnsi="Helvetica"/>
        <w:color w:val="404040"/>
        <w:sz w:val="22"/>
      </w:rPr>
      <w:tcPr>
        <w:shd w:val="clear" w:color="daebcf" w:fill="daebcf"/>
      </w:tcPr>
    </w:tblStylePr>
    <w:tblStylePr w:type="firstCol">
      <w:rPr>
        <w:b/>
        <w:color w:val="404040"/>
      </w:rPr>
    </w:tblStylePr>
    <w:tblStylePr w:type="firstRow">
      <w:rPr>
        <w:rFonts w:ascii="Helvetica" w:hAnsi="Helvetica"/>
        <w:b/>
        <w:color w:val="ffffff"/>
        <w:sz w:val="22"/>
      </w:rPr>
      <w:tcPr>
        <w:shd w:val="clear" w:color="70ad47" w:fill="70ad47"/>
      </w:tcPr>
    </w:tblStylePr>
    <w:tblStylePr w:type="lastCol">
      <w:rPr>
        <w:b/>
        <w:color w:val="404040"/>
      </w:rPr>
    </w:tblStylePr>
    <w:tblStylePr w:type="lastRow">
      <w:rPr>
        <w:b/>
        <w:color w:val="404040"/>
      </w:rPr>
    </w:tblStylePr>
  </w:style>
  <w:style w:type="table" w:styleId="916" w:customStyle="1">
    <w:name w:val="清单表 5 深色1"/>
    <w:basedOn w:val="751"/>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cPr>
      <w:shd w:val="clear" w:color="7f7f7f" w:fill="7f7f7f"/>
    </w:tcPr>
    <w:tblStylePr w:type="band1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f7f7f" w:fill="7f7f7f"/>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7F7F7F"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7f7f7f" w:fill="7f7f7f"/>
        <w:tcBorders>
          <w:top w:val="single" w:color="7F7F7F"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F7F7F"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917" w:customStyle="1">
    <w:name w:val="List Table 5 Dark - Accent 1"/>
    <w:basedOn w:val="751"/>
    <w:uiPriority w:val="99"/>
    <w:qFormat/>
    <w:rPr>
      <w:rFonts w:ascii="Times New Roman" w:hAnsi="Times New Roman" w:eastAsia="宋体" w:cs="Times New Roman"/>
    </w:rPr>
    <w:tblPr>
      <w:tblBorders>
        <w:top w:val="single" w:color="5B9BD5" w:sz="32" w:space="0"/>
        <w:left w:val="single" w:color="5B9BD5" w:sz="32" w:space="0"/>
        <w:bottom w:val="single" w:color="5B9BD5" w:sz="32" w:space="0"/>
        <w:right w:val="single" w:color="5B9BD5" w:sz="32" w:space="0"/>
      </w:tblBorders>
    </w:tblPr>
    <w:tcPr>
      <w:shd w:val="clear" w:color="5b9bd5" w:fill="5b9bd5"/>
    </w:tc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918" w:customStyle="1">
    <w:name w:val="List Table 5 Dark - Accent 2"/>
    <w:basedOn w:val="751"/>
    <w:uiPriority w:val="99"/>
    <w:qFormat/>
    <w:rPr>
      <w:rFonts w:ascii="Times New Roman" w:hAnsi="Times New Roman" w:eastAsia="宋体" w:cs="Times New Roman"/>
    </w:rPr>
    <w:tblPr>
      <w:tblBorders>
        <w:top w:val="single" w:color="F4B184" w:sz="32" w:space="0"/>
        <w:left w:val="single" w:color="F4B184" w:sz="32" w:space="0"/>
        <w:bottom w:val="single" w:color="F4B184" w:sz="32" w:space="0"/>
        <w:right w:val="single" w:color="F4B184" w:sz="32" w:space="0"/>
      </w:tblBorders>
    </w:tblPr>
    <w:tcPr>
      <w:shd w:val="clear" w:color="f4b184" w:fill="f4b184"/>
    </w:tcPr>
    <w:tblStylePr w:type="band1Horz">
      <w:tcPr>
        <w:shd w:val="clear" w:color="f4b184" w:fill="f4b18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184" w:fill="f4b18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184" w:fill="f4b18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F4B184"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f4b184" w:fill="f4b184"/>
        <w:tcBorders>
          <w:top w:val="single" w:color="F4B18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184"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919" w:customStyle="1">
    <w:name w:val="List Table 5 Dark - Accent 3"/>
    <w:basedOn w:val="751"/>
    <w:uiPriority w:val="99"/>
    <w:qFormat/>
    <w:rPr>
      <w:rFonts w:ascii="Times New Roman" w:hAnsi="Times New Roman" w:eastAsia="宋体" w:cs="Times New Roman"/>
    </w:rPr>
    <w:tblPr>
      <w:tblBorders>
        <w:top w:val="single" w:color="C9C9C9" w:sz="32" w:space="0"/>
        <w:left w:val="single" w:color="C9C9C9" w:sz="32" w:space="0"/>
        <w:bottom w:val="single" w:color="C9C9C9" w:sz="32" w:space="0"/>
        <w:right w:val="single" w:color="C9C9C9" w:sz="32" w:space="0"/>
      </w:tblBorders>
    </w:tblPr>
    <w:tcPr>
      <w:shd w:val="clear" w:color="c9c9c9" w:fill="c9c9c9"/>
    </w:tc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920" w:customStyle="1">
    <w:name w:val="List Table 5 Dark - Accent 4"/>
    <w:basedOn w:val="751"/>
    <w:uiPriority w:val="99"/>
    <w:qFormat/>
    <w:rPr>
      <w:rFonts w:ascii="Times New Roman" w:hAnsi="Times New Roman" w:eastAsia="宋体" w:cs="Times New Roman"/>
    </w:rPr>
    <w:tblPr>
      <w:tblBorders>
        <w:top w:val="single" w:color="FFD865" w:sz="32" w:space="0"/>
        <w:left w:val="single" w:color="FFD865" w:sz="32" w:space="0"/>
        <w:bottom w:val="single" w:color="FFD865" w:sz="32" w:space="0"/>
        <w:right w:val="single" w:color="FFD865" w:sz="32" w:space="0"/>
      </w:tblBorders>
    </w:tblPr>
    <w:tcPr>
      <w:shd w:val="clear" w:color="ffd865" w:fill="ffd865"/>
    </w:tcPr>
    <w:tblStylePr w:type="band1Horz">
      <w:tcPr>
        <w:shd w:val="clear" w:color="ffd865" w:fill="ffd86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5" w:fill="ffd86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5" w:fill="ffd86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FFD865"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ffd865" w:fill="ffd865"/>
        <w:tcBorders>
          <w:top w:val="single" w:color="FFD86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5"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921" w:customStyle="1">
    <w:name w:val="List Table 5 Dark - Accent 5"/>
    <w:basedOn w:val="751"/>
    <w:uiPriority w:val="99"/>
    <w:qFormat/>
    <w:rPr>
      <w:rFonts w:ascii="Times New Roman" w:hAnsi="Times New Roman" w:eastAsia="宋体" w:cs="Times New Roman"/>
    </w:rPr>
    <w:tblPr>
      <w:tblBorders>
        <w:top w:val="single" w:color="8DA9DB" w:sz="32" w:space="0"/>
        <w:left w:val="single" w:color="8DA9DB" w:sz="32" w:space="0"/>
        <w:bottom w:val="single" w:color="8DA9DB" w:sz="32" w:space="0"/>
        <w:right w:val="single" w:color="8DA9DB" w:sz="32" w:space="0"/>
      </w:tblBorders>
    </w:tblPr>
    <w:tcPr>
      <w:shd w:val="clear" w:color="8da9db" w:fill="8da9db"/>
    </w:tcPr>
    <w:tblStylePr w:type="band1Horz">
      <w:tcPr>
        <w:shd w:val="clear" w:color="8da9db" w:fill="8d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da9db" w:fill="8d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da9db" w:fill="8d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8DA9DB"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8da9db" w:fill="8da9db"/>
        <w:tcBorders>
          <w:top w:val="single" w:color="8D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DA9DB"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922" w:customStyle="1">
    <w:name w:val="List Table 5 Dark - Accent 6"/>
    <w:basedOn w:val="751"/>
    <w:uiPriority w:val="99"/>
    <w:qFormat/>
    <w:rPr>
      <w:rFonts w:ascii="Times New Roman" w:hAnsi="Times New Roman" w:eastAsia="宋体" w:cs="Times New Roman"/>
    </w:rPr>
    <w:tblPr>
      <w:tblBorders>
        <w:top w:val="single" w:color="A9D08E" w:sz="32" w:space="0"/>
        <w:left w:val="single" w:color="A9D08E" w:sz="32" w:space="0"/>
        <w:bottom w:val="single" w:color="A9D08E" w:sz="32" w:space="0"/>
        <w:right w:val="single" w:color="A9D08E" w:sz="32" w:space="0"/>
      </w:tblBorders>
    </w:tblPr>
    <w:tcPr>
      <w:shd w:val="clear" w:color="a9d08e" w:fill="a9d08e"/>
    </w:tc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923" w:customStyle="1">
    <w:name w:val="清单表 6 彩色1"/>
    <w:basedOn w:val="751"/>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Helvetica" w:hAnsi="Helvetica"/>
        <w:color w:val="000000"/>
        <w:sz w:val="22"/>
      </w:rPr>
      <w:tcPr>
        <w:shd w:val="clear" w:color="bfbfbf" w:fill="bfbfbf"/>
      </w:tcPr>
    </w:tblStylePr>
    <w:tblStylePr w:type="band1Vert">
      <w:tcPr>
        <w:shd w:val="clear" w:color="bfbfbf" w:fill="bfbfbf"/>
      </w:tcPr>
    </w:tblStylePr>
    <w:tblStylePr w:type="band2Horz">
      <w:rPr>
        <w:rFonts w:ascii="Helvetica" w:hAnsi="Helvetic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List Table 6 Colorful - Accent 1"/>
    <w:basedOn w:val="751"/>
    <w:uiPriority w:val="99"/>
    <w:qFormat/>
    <w:rPr>
      <w:rFonts w:ascii="Times New Roman" w:hAnsi="Times New Roman" w:eastAsia="宋体" w:cs="Times New Roman"/>
    </w:rPr>
    <w:tblPr>
      <w:tblBorders>
        <w:top w:val="single" w:color="5B9BD5" w:sz="4" w:space="0"/>
        <w:bottom w:val="single" w:color="5B9BD5" w:sz="4" w:space="0"/>
      </w:tblBorders>
    </w:tblPr>
    <w:tblStylePr w:type="band1Horz">
      <w:rPr>
        <w:rFonts w:ascii="Helvetica" w:hAnsi="Helvetica"/>
        <w:color w:val="245a8d"/>
        <w:sz w:val="22"/>
      </w:rPr>
      <w:tcPr>
        <w:shd w:val="clear" w:color="d5e5f4" w:fill="d5e5f4"/>
      </w:tcPr>
    </w:tblStylePr>
    <w:tblStylePr w:type="band1Vert">
      <w:tcPr>
        <w:shd w:val="clear" w:color="d5e5f4" w:fill="d5e5f4"/>
      </w:tcPr>
    </w:tblStylePr>
    <w:tblStylePr w:type="band2Horz">
      <w:rPr>
        <w:rFonts w:ascii="Helvetica" w:hAnsi="Helvetica"/>
        <w:color w:val="245a8d"/>
        <w:sz w:val="22"/>
      </w:rPr>
    </w:tblStylePr>
    <w:tblStylePr w:type="firstCol">
      <w:rPr>
        <w:b/>
        <w:color w:val="245a8d"/>
      </w:rPr>
    </w:tblStylePr>
    <w:tblStylePr w:type="firstRow">
      <w:rPr>
        <w:b/>
        <w:color w:val="245a8d"/>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45a8d"/>
      </w:rPr>
    </w:tblStylePr>
    <w:tblStylePr w:type="lastRow">
      <w:rPr>
        <w:b/>
        <w:color w:val="245a8d"/>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6 Colorful - Accent 2"/>
    <w:basedOn w:val="751"/>
    <w:uiPriority w:val="99"/>
    <w:qFormat/>
    <w:rPr>
      <w:rFonts w:ascii="Times New Roman" w:hAnsi="Times New Roman" w:eastAsia="宋体" w:cs="Times New Roman"/>
    </w:rPr>
    <w:tblPr>
      <w:tblBorders>
        <w:top w:val="single" w:color="F4B184" w:sz="4" w:space="0"/>
        <w:bottom w:val="single" w:color="F4B184" w:sz="4" w:space="0"/>
      </w:tblBorders>
    </w:tblPr>
    <w:tblStylePr w:type="band1Horz">
      <w:rPr>
        <w:rFonts w:ascii="Helvetica" w:hAnsi="Helvetica"/>
        <w:color w:val="f4b184"/>
        <w:sz w:val="22"/>
      </w:rPr>
      <w:tcPr>
        <w:shd w:val="clear" w:color="fadecb" w:fill="fadecb"/>
      </w:tcPr>
    </w:tblStylePr>
    <w:tblStylePr w:type="band1Vert">
      <w:tcPr>
        <w:shd w:val="clear" w:color="fadecb" w:fill="fadecb"/>
      </w:tcPr>
    </w:tblStylePr>
    <w:tblStylePr w:type="band2Horz">
      <w:rPr>
        <w:rFonts w:ascii="Helvetica" w:hAnsi="Helvetica"/>
        <w:color w:val="f4b184"/>
        <w:sz w:val="22"/>
      </w:rPr>
    </w:tblStylePr>
    <w:tblStylePr w:type="firstCol">
      <w:rPr>
        <w:b/>
        <w:color w:val="f4b184"/>
      </w:rPr>
    </w:tblStylePr>
    <w:tblStylePr w:type="firstRow">
      <w:rPr>
        <w:b/>
        <w:color w:val="f4b184"/>
      </w:rPr>
      <w:tcPr>
        <w:tcBorders>
          <w:top w:val="none" w:color="000000" w:sz="4" w:space="0"/>
          <w:left w:val="none" w:color="000000" w:sz="4" w:space="0"/>
          <w:bottom w:val="single" w:color="F4B184" w:sz="4" w:space="0"/>
          <w:right w:val="none" w:color="000000" w:sz="4" w:space="0"/>
          <w:insideH w:val="none" w:color="000000" w:sz="4" w:space="0"/>
          <w:insideV w:val="none" w:color="000000" w:sz="4" w:space="0"/>
        </w:tcBorders>
      </w:tcPr>
    </w:tblStylePr>
    <w:tblStylePr w:type="lastCol">
      <w:rPr>
        <w:b/>
        <w:color w:val="f4b184"/>
      </w:rPr>
    </w:tblStylePr>
    <w:tblStylePr w:type="lastRow">
      <w:rPr>
        <w:b/>
        <w:color w:val="f4b184"/>
      </w:rPr>
      <w:tcPr>
        <w:tcBorders>
          <w:top w:val="single" w:color="F4B18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6 Colorful - Accent 3"/>
    <w:basedOn w:val="751"/>
    <w:uiPriority w:val="99"/>
    <w:qFormat/>
    <w:rPr>
      <w:rFonts w:ascii="Times New Roman" w:hAnsi="Times New Roman" w:eastAsia="宋体" w:cs="Times New Roman"/>
    </w:rPr>
    <w:tblPr>
      <w:tblBorders>
        <w:top w:val="single" w:color="C9C9C9" w:sz="4" w:space="0"/>
        <w:bottom w:val="single" w:color="C9C9C9" w:sz="4" w:space="0"/>
      </w:tblBorders>
    </w:tblPr>
    <w:tblStylePr w:type="band1Horz">
      <w:rPr>
        <w:rFonts w:ascii="Helvetica" w:hAnsi="Helvetica"/>
        <w:color w:val="c9c9c9"/>
        <w:sz w:val="22"/>
      </w:rPr>
      <w:tcPr>
        <w:shd w:val="clear" w:color="e8e8e8" w:fill="e8e8e8"/>
      </w:tcPr>
    </w:tblStylePr>
    <w:tblStylePr w:type="band1Vert">
      <w:tcPr>
        <w:shd w:val="clear" w:color="e8e8e8" w:fill="e8e8e8"/>
      </w:tcPr>
    </w:tblStylePr>
    <w:tblStylePr w:type="band2Horz">
      <w:rPr>
        <w:rFonts w:ascii="Helvetica" w:hAnsi="Helvetica"/>
        <w:color w:val="c9c9c9"/>
        <w:sz w:val="22"/>
      </w:rPr>
    </w:tblStylePr>
    <w:tblStylePr w:type="firstCol">
      <w:rPr>
        <w:b/>
        <w:color w:val="c9c9c9"/>
      </w:rPr>
    </w:tblStylePr>
    <w:tblStylePr w:type="firstRow">
      <w:rPr>
        <w:b/>
        <w:color w:val="c9c9c9"/>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9c9c9"/>
      </w:rPr>
    </w:tblStylePr>
    <w:tblStylePr w:type="lastRow">
      <w:rPr>
        <w:b/>
        <w:color w:val="c9c9c9"/>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6 Colorful - Accent 4"/>
    <w:basedOn w:val="751"/>
    <w:uiPriority w:val="99"/>
    <w:qFormat/>
    <w:rPr>
      <w:rFonts w:ascii="Times New Roman" w:hAnsi="Times New Roman" w:eastAsia="宋体" w:cs="Times New Roman"/>
    </w:rPr>
    <w:tblPr>
      <w:tblBorders>
        <w:top w:val="single" w:color="FFD865" w:sz="4" w:space="0"/>
        <w:bottom w:val="single" w:color="FFD865" w:sz="4" w:space="0"/>
      </w:tblBorders>
    </w:tblPr>
    <w:tblStylePr w:type="band1Horz">
      <w:rPr>
        <w:rFonts w:ascii="Helvetica" w:hAnsi="Helvetica"/>
        <w:color w:val="ffd865"/>
        <w:sz w:val="22"/>
      </w:rPr>
      <w:tcPr>
        <w:shd w:val="clear" w:color="ffefbf" w:fill="ffefbf"/>
      </w:tcPr>
    </w:tblStylePr>
    <w:tblStylePr w:type="band1Vert">
      <w:tcPr>
        <w:shd w:val="clear" w:color="ffefbf" w:fill="ffefbf"/>
      </w:tcPr>
    </w:tblStylePr>
    <w:tblStylePr w:type="band2Horz">
      <w:rPr>
        <w:rFonts w:ascii="Helvetica" w:hAnsi="Helvetica"/>
        <w:color w:val="ffd865"/>
        <w:sz w:val="22"/>
      </w:rPr>
    </w:tblStylePr>
    <w:tblStylePr w:type="firstCol">
      <w:rPr>
        <w:b/>
        <w:color w:val="ffd865"/>
      </w:rPr>
    </w:tblStylePr>
    <w:tblStylePr w:type="firstRow">
      <w:rPr>
        <w:b/>
        <w:color w:val="ffd865"/>
      </w:rPr>
      <w:tcPr>
        <w:tcBorders>
          <w:top w:val="none" w:color="000000" w:sz="4" w:space="0"/>
          <w:left w:val="none" w:color="000000" w:sz="4" w:space="0"/>
          <w:bottom w:val="single" w:color="FFD865" w:sz="4" w:space="0"/>
          <w:right w:val="none" w:color="000000" w:sz="4" w:space="0"/>
          <w:insideH w:val="none" w:color="000000" w:sz="4" w:space="0"/>
          <w:insideV w:val="none" w:color="000000" w:sz="4" w:space="0"/>
        </w:tcBorders>
      </w:tcPr>
    </w:tblStylePr>
    <w:tblStylePr w:type="lastCol">
      <w:rPr>
        <w:b/>
        <w:color w:val="ffd865"/>
      </w:rPr>
    </w:tblStylePr>
    <w:tblStylePr w:type="lastRow">
      <w:rPr>
        <w:b/>
        <w:color w:val="ffd865"/>
      </w:rPr>
      <w:tcPr>
        <w:tcBorders>
          <w:top w:val="single" w:color="FFD86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6 Colorful - Accent 5"/>
    <w:basedOn w:val="751"/>
    <w:uiPriority w:val="99"/>
    <w:qFormat/>
    <w:rPr>
      <w:rFonts w:ascii="Times New Roman" w:hAnsi="Times New Roman" w:eastAsia="宋体" w:cs="Times New Roman"/>
    </w:rPr>
    <w:tblPr>
      <w:tblBorders>
        <w:top w:val="single" w:color="8DA9DB" w:sz="4" w:space="0"/>
        <w:bottom w:val="single" w:color="8DA9DB" w:sz="4" w:space="0"/>
      </w:tblBorders>
    </w:tblPr>
    <w:tblStylePr w:type="band1Horz">
      <w:rPr>
        <w:rFonts w:ascii="Helvetica" w:hAnsi="Helvetica"/>
        <w:color w:val="8da9db"/>
        <w:sz w:val="22"/>
      </w:rPr>
      <w:tcPr>
        <w:shd w:val="clear" w:color="cfdbf0" w:fill="cfdbf0"/>
      </w:tcPr>
    </w:tblStylePr>
    <w:tblStylePr w:type="band1Vert">
      <w:tcPr>
        <w:shd w:val="clear" w:color="cfdbf0" w:fill="cfdbf0"/>
      </w:tcPr>
    </w:tblStylePr>
    <w:tblStylePr w:type="band2Horz">
      <w:rPr>
        <w:rFonts w:ascii="Helvetica" w:hAnsi="Helvetica"/>
        <w:color w:val="8da9db"/>
        <w:sz w:val="22"/>
      </w:rPr>
    </w:tblStylePr>
    <w:tblStylePr w:type="firstCol">
      <w:rPr>
        <w:b/>
        <w:color w:val="8da9db"/>
      </w:rPr>
    </w:tblStylePr>
    <w:tblStylePr w:type="firstRow">
      <w:rPr>
        <w:b/>
        <w:color w:val="8da9db"/>
      </w:rPr>
      <w:tcPr>
        <w:tcBorders>
          <w:top w:val="none" w:color="000000" w:sz="4" w:space="0"/>
          <w:left w:val="none" w:color="000000" w:sz="4" w:space="0"/>
          <w:bottom w:val="single" w:color="8DA9DB" w:sz="4" w:space="0"/>
          <w:right w:val="none" w:color="000000" w:sz="4" w:space="0"/>
          <w:insideH w:val="none" w:color="000000" w:sz="4" w:space="0"/>
          <w:insideV w:val="none" w:color="000000" w:sz="4" w:space="0"/>
        </w:tcBorders>
      </w:tcPr>
    </w:tblStylePr>
    <w:tblStylePr w:type="lastCol">
      <w:rPr>
        <w:b/>
        <w:color w:val="8da9db"/>
      </w:rPr>
    </w:tblStylePr>
    <w:tblStylePr w:type="lastRow">
      <w:rPr>
        <w:b/>
        <w:color w:val="8da9db"/>
      </w:rPr>
      <w:tcPr>
        <w:tcBorders>
          <w:top w:val="single" w:color="8D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6 Colorful - Accent 6"/>
    <w:basedOn w:val="751"/>
    <w:uiPriority w:val="99"/>
    <w:qFormat/>
    <w:rPr>
      <w:rFonts w:ascii="Times New Roman" w:hAnsi="Times New Roman" w:eastAsia="宋体" w:cs="Times New Roman"/>
    </w:rPr>
    <w:tblPr>
      <w:tblBorders>
        <w:top w:val="single" w:color="A9D08E" w:sz="4" w:space="0"/>
        <w:bottom w:val="single" w:color="A9D08E" w:sz="4" w:space="0"/>
      </w:tblBorders>
    </w:tblPr>
    <w:tblStylePr w:type="band1Horz">
      <w:rPr>
        <w:rFonts w:ascii="Helvetica" w:hAnsi="Helvetica"/>
        <w:color w:val="a9d08e"/>
        <w:sz w:val="22"/>
      </w:rPr>
      <w:tcPr>
        <w:shd w:val="clear" w:color="daebcf" w:fill="daebcf"/>
      </w:tcPr>
    </w:tblStylePr>
    <w:tblStylePr w:type="band1Vert">
      <w:tcPr>
        <w:shd w:val="clear" w:color="daebcf" w:fill="daebcf"/>
      </w:tcPr>
    </w:tblStylePr>
    <w:tblStylePr w:type="band2Horz">
      <w:rPr>
        <w:rFonts w:ascii="Helvetica" w:hAnsi="Helvetica"/>
        <w:color w:val="a9d08e"/>
        <w:sz w:val="22"/>
      </w:rPr>
    </w:tblStylePr>
    <w:tblStylePr w:type="firstCol">
      <w:rPr>
        <w:b/>
        <w:color w:val="a9d08e"/>
      </w:rPr>
    </w:tblStylePr>
    <w:tblStylePr w:type="firstRow">
      <w:rPr>
        <w:b/>
        <w:color w:val="a9d08e"/>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9d08e"/>
      </w:rPr>
    </w:tblStylePr>
    <w:tblStylePr w:type="lastRow">
      <w:rPr>
        <w:b/>
        <w:color w:val="a9d08e"/>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清单表 7 彩色1"/>
    <w:basedOn w:val="751"/>
    <w:uiPriority w:val="99"/>
    <w:qFormat/>
    <w:rPr>
      <w:rFonts w:ascii="Times New Roman" w:hAnsi="Times New Roman" w:eastAsia="宋体" w:cs="Times New Roman"/>
    </w:rPr>
    <w:tblPr>
      <w:tblBorders>
        <w:right w:val="single" w:color="7F7F7F" w:sz="4" w:space="0"/>
      </w:tblBorders>
    </w:tblPr>
    <w:tblStylePr w:type="band1Horz">
      <w:rPr>
        <w:rFonts w:ascii="Helvetica" w:hAnsi="Helvetica"/>
        <w:color w:val="7f7f7f"/>
        <w:sz w:val="22"/>
      </w:rPr>
      <w:tcPr>
        <w:shd w:val="clear" w:color="bfbfbf" w:fill="bfbfbf"/>
      </w:tcPr>
    </w:tblStylePr>
    <w:tblStylePr w:type="band1Vert">
      <w:tcPr>
        <w:shd w:val="clear" w:color="bfbfbf" w:fill="bfbfbf"/>
      </w:tcPr>
    </w:tblStylePr>
    <w:tblStylePr w:type="band2Horz">
      <w:rPr>
        <w:rFonts w:ascii="Helvetica" w:hAnsi="Helvetica"/>
        <w:color w:val="7f7f7f"/>
        <w:sz w:val="22"/>
      </w:rPr>
    </w:tblStylePr>
    <w:tblStylePr w:type="firstCol">
      <w:rPr>
        <w:rFonts w:ascii="Helvetica" w:hAnsi="Helvetica"/>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Helvetica" w:hAnsi="Helvetica"/>
        <w:i/>
        <w:color w:val="7f7f7f"/>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Helvetica" w:hAnsi="Helvetica"/>
        <w:i/>
        <w:color w:val="7f7f7f"/>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7f7f7f"/>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7 Colorful - Accent 1"/>
    <w:basedOn w:val="751"/>
    <w:uiPriority w:val="99"/>
    <w:qFormat/>
    <w:rPr>
      <w:rFonts w:ascii="Times New Roman" w:hAnsi="Times New Roman" w:eastAsia="宋体" w:cs="Times New Roman"/>
    </w:rPr>
    <w:tblPr>
      <w:tblBorders>
        <w:right w:val="single" w:color="5B9BD5" w:sz="4" w:space="0"/>
      </w:tblBorders>
    </w:tblPr>
    <w:tblStylePr w:type="band1Horz">
      <w:rPr>
        <w:rFonts w:ascii="Helvetica" w:hAnsi="Helvetica"/>
        <w:color w:val="245a8d"/>
        <w:sz w:val="22"/>
      </w:rPr>
      <w:tcPr>
        <w:shd w:val="clear" w:color="d5e5f4" w:fill="d5e5f4"/>
      </w:tcPr>
    </w:tblStylePr>
    <w:tblStylePr w:type="band1Vert">
      <w:tcPr>
        <w:shd w:val="clear" w:color="d5e5f4" w:fill="d5e5f4"/>
      </w:tcPr>
    </w:tblStylePr>
    <w:tblStylePr w:type="band2Horz">
      <w:rPr>
        <w:rFonts w:ascii="Helvetica" w:hAnsi="Helvetica"/>
        <w:color w:val="245a8d"/>
        <w:sz w:val="22"/>
      </w:rPr>
    </w:tblStylePr>
    <w:tblStylePr w:type="firstCol">
      <w:rPr>
        <w:rFonts w:ascii="Helvetica" w:hAnsi="Helvetica"/>
        <w:i/>
        <w:color w:val="245a8d"/>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Helvetica" w:hAnsi="Helvetica"/>
        <w:i/>
        <w:color w:val="245a8d"/>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Helvetica" w:hAnsi="Helvetica"/>
        <w:i/>
        <w:color w:val="245a8d"/>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245a8d"/>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7 Colorful - Accent 2"/>
    <w:basedOn w:val="751"/>
    <w:uiPriority w:val="99"/>
    <w:qFormat/>
    <w:rPr>
      <w:rFonts w:ascii="Times New Roman" w:hAnsi="Times New Roman" w:eastAsia="宋体" w:cs="Times New Roman"/>
    </w:rPr>
    <w:tblPr>
      <w:tblBorders>
        <w:right w:val="single" w:color="F4B184" w:sz="4" w:space="0"/>
      </w:tblBorders>
    </w:tblPr>
    <w:tblStylePr w:type="band1Horz">
      <w:rPr>
        <w:rFonts w:ascii="Helvetica" w:hAnsi="Helvetica"/>
        <w:color w:val="f4b184"/>
        <w:sz w:val="22"/>
      </w:rPr>
      <w:tcPr>
        <w:shd w:val="clear" w:color="fadecb" w:fill="fadecb"/>
      </w:tcPr>
    </w:tblStylePr>
    <w:tblStylePr w:type="band1Vert">
      <w:tcPr>
        <w:shd w:val="clear" w:color="fadecb" w:fill="fadecb"/>
      </w:tcPr>
    </w:tblStylePr>
    <w:tblStylePr w:type="band2Horz">
      <w:rPr>
        <w:rFonts w:ascii="Helvetica" w:hAnsi="Helvetica"/>
        <w:color w:val="f4b184"/>
        <w:sz w:val="22"/>
      </w:rPr>
    </w:tblStylePr>
    <w:tblStylePr w:type="firstCol">
      <w:rPr>
        <w:rFonts w:ascii="Helvetica" w:hAnsi="Helvetica"/>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insideH w:val="none" w:color="000000" w:sz="4" w:space="0"/>
          <w:insideV w:val="none" w:color="000000" w:sz="4" w:space="0"/>
        </w:tcBorders>
      </w:tcPr>
    </w:tblStylePr>
    <w:tblStylePr w:type="firstRow">
      <w:rPr>
        <w:rFonts w:ascii="Helvetica" w:hAnsi="Helvetica"/>
        <w:i/>
        <w:color w:val="f4b184"/>
        <w:sz w:val="22"/>
      </w:rPr>
      <w:tcPr>
        <w:shd w:val="clear" w:color="ffffff" w:fill="ffffff"/>
        <w:tcBorders>
          <w:top w:val="none" w:color="000000" w:sz="4" w:space="0"/>
          <w:left w:val="none" w:color="000000" w:sz="4" w:space="0"/>
          <w:bottom w:val="single" w:color="F4B184" w:sz="4" w:space="0"/>
          <w:right w:val="none" w:color="000000" w:sz="4" w:space="0"/>
          <w:insideH w:val="none" w:color="000000" w:sz="4" w:space="0"/>
          <w:insideV w:val="none" w:color="000000" w:sz="4" w:space="0"/>
        </w:tcBorders>
      </w:tcPr>
    </w:tblStylePr>
    <w:tblStylePr w:type="lastCol">
      <w:rPr>
        <w:rFonts w:ascii="Helvetica" w:hAnsi="Helvetica"/>
        <w:i/>
        <w:color w:val="f4b184"/>
        <w:sz w:val="22"/>
      </w:rPr>
      <w:tcPr>
        <w:shd w:val="clear" w:color="ffffff" w:fill="auto"/>
        <w:tcBorders>
          <w:top w:val="none" w:color="000000" w:sz="4" w:space="0"/>
          <w:left w:val="single" w:color="F4B184"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f4b184"/>
        <w:sz w:val="22"/>
      </w:rPr>
      <w:tcPr>
        <w:shd w:val="clear" w:color="ffffff" w:fill="ffffff"/>
        <w:tcBorders>
          <w:top w:val="single" w:color="F4B18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List Table 7 Colorful - Accent 3"/>
    <w:basedOn w:val="751"/>
    <w:uiPriority w:val="99"/>
    <w:qFormat/>
    <w:rPr>
      <w:rFonts w:ascii="Times New Roman" w:hAnsi="Times New Roman" w:eastAsia="宋体" w:cs="Times New Roman"/>
    </w:rPr>
    <w:tblPr>
      <w:tblBorders>
        <w:right w:val="single" w:color="C9C9C9" w:sz="4" w:space="0"/>
      </w:tblBorders>
    </w:tblPr>
    <w:tblStylePr w:type="band1Horz">
      <w:rPr>
        <w:rFonts w:ascii="Helvetica" w:hAnsi="Helvetica"/>
        <w:color w:val="c9c9c9"/>
        <w:sz w:val="22"/>
      </w:rPr>
      <w:tcPr>
        <w:shd w:val="clear" w:color="e8e8e8" w:fill="e8e8e8"/>
      </w:tcPr>
    </w:tblStylePr>
    <w:tblStylePr w:type="band1Vert">
      <w:tcPr>
        <w:shd w:val="clear" w:color="e8e8e8" w:fill="e8e8e8"/>
      </w:tcPr>
    </w:tblStylePr>
    <w:tblStylePr w:type="band2Horz">
      <w:rPr>
        <w:rFonts w:ascii="Helvetica" w:hAnsi="Helvetica"/>
        <w:color w:val="c9c9c9"/>
        <w:sz w:val="22"/>
      </w:rPr>
    </w:tblStylePr>
    <w:tblStylePr w:type="firstCol">
      <w:rPr>
        <w:rFonts w:ascii="Helvetica" w:hAnsi="Helvetica"/>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Helvetica" w:hAnsi="Helvetica"/>
        <w:i/>
        <w:color w:val="c9c9c9"/>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Helvetica" w:hAnsi="Helvetica"/>
        <w:i/>
        <w:color w:val="c9c9c9"/>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c9c9c9"/>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List Table 7 Colorful - Accent 4"/>
    <w:basedOn w:val="751"/>
    <w:uiPriority w:val="99"/>
    <w:qFormat/>
    <w:rPr>
      <w:rFonts w:ascii="Times New Roman" w:hAnsi="Times New Roman" w:eastAsia="宋体" w:cs="Times New Roman"/>
    </w:rPr>
    <w:tblPr>
      <w:tblBorders>
        <w:right w:val="single" w:color="FFD865" w:sz="4" w:space="0"/>
      </w:tblBorders>
    </w:tblPr>
    <w:tblStylePr w:type="band1Horz">
      <w:rPr>
        <w:rFonts w:ascii="Helvetica" w:hAnsi="Helvetica"/>
        <w:color w:val="ffd865"/>
        <w:sz w:val="22"/>
      </w:rPr>
      <w:tcPr>
        <w:shd w:val="clear" w:color="ffefbf" w:fill="ffefbf"/>
      </w:tcPr>
    </w:tblStylePr>
    <w:tblStylePr w:type="band1Vert">
      <w:tcPr>
        <w:shd w:val="clear" w:color="ffefbf" w:fill="ffefbf"/>
      </w:tcPr>
    </w:tblStylePr>
    <w:tblStylePr w:type="band2Horz">
      <w:rPr>
        <w:rFonts w:ascii="Helvetica" w:hAnsi="Helvetica"/>
        <w:color w:val="ffd865"/>
        <w:sz w:val="22"/>
      </w:rPr>
    </w:tblStylePr>
    <w:tblStylePr w:type="firstCol">
      <w:rPr>
        <w:rFonts w:ascii="Helvetica" w:hAnsi="Helvetica"/>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insideH w:val="none" w:color="000000" w:sz="4" w:space="0"/>
          <w:insideV w:val="none" w:color="000000" w:sz="4" w:space="0"/>
        </w:tcBorders>
      </w:tcPr>
    </w:tblStylePr>
    <w:tblStylePr w:type="firstRow">
      <w:rPr>
        <w:rFonts w:ascii="Helvetica" w:hAnsi="Helvetica"/>
        <w:i/>
        <w:color w:val="ffd865"/>
        <w:sz w:val="22"/>
      </w:rPr>
      <w:tcPr>
        <w:shd w:val="clear" w:color="ffffff" w:fill="ffffff"/>
        <w:tcBorders>
          <w:top w:val="none" w:color="000000" w:sz="4" w:space="0"/>
          <w:left w:val="none" w:color="000000" w:sz="4" w:space="0"/>
          <w:bottom w:val="single" w:color="FFD865" w:sz="4" w:space="0"/>
          <w:right w:val="none" w:color="000000" w:sz="4" w:space="0"/>
          <w:insideH w:val="none" w:color="000000" w:sz="4" w:space="0"/>
          <w:insideV w:val="none" w:color="000000" w:sz="4" w:space="0"/>
        </w:tcBorders>
      </w:tcPr>
    </w:tblStylePr>
    <w:tblStylePr w:type="lastCol">
      <w:rPr>
        <w:rFonts w:ascii="Helvetica" w:hAnsi="Helvetica"/>
        <w:i/>
        <w:color w:val="ffd865"/>
        <w:sz w:val="22"/>
      </w:rPr>
      <w:tcPr>
        <w:shd w:val="clear" w:color="ffffff" w:fill="auto"/>
        <w:tcBorders>
          <w:top w:val="none" w:color="000000" w:sz="4" w:space="0"/>
          <w:left w:val="single" w:color="FFD86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ffd865"/>
        <w:sz w:val="22"/>
      </w:rPr>
      <w:tcPr>
        <w:shd w:val="clear" w:color="ffffff" w:fill="ffffff"/>
        <w:tcBorders>
          <w:top w:val="single" w:color="FFD86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st Table 7 Colorful - Accent 5"/>
    <w:basedOn w:val="751"/>
    <w:uiPriority w:val="99"/>
    <w:qFormat/>
    <w:rPr>
      <w:rFonts w:ascii="Times New Roman" w:hAnsi="Times New Roman" w:eastAsia="宋体" w:cs="Times New Roman"/>
    </w:rPr>
    <w:tblPr>
      <w:tblBorders>
        <w:right w:val="single" w:color="8DA9DB" w:sz="4" w:space="0"/>
      </w:tblBorders>
    </w:tblPr>
    <w:tblStylePr w:type="band1Horz">
      <w:rPr>
        <w:rFonts w:ascii="Helvetica" w:hAnsi="Helvetica"/>
        <w:color w:val="8da9db"/>
        <w:sz w:val="22"/>
      </w:rPr>
      <w:tcPr>
        <w:shd w:val="clear" w:color="cfdbf0" w:fill="cfdbf0"/>
      </w:tcPr>
    </w:tblStylePr>
    <w:tblStylePr w:type="band1Vert">
      <w:tcPr>
        <w:shd w:val="clear" w:color="cfdbf0" w:fill="cfdbf0"/>
      </w:tcPr>
    </w:tblStylePr>
    <w:tblStylePr w:type="band2Horz">
      <w:rPr>
        <w:rFonts w:ascii="Helvetica" w:hAnsi="Helvetica"/>
        <w:color w:val="8da9db"/>
        <w:sz w:val="22"/>
      </w:rPr>
    </w:tblStylePr>
    <w:tblStylePr w:type="firstCol">
      <w:rPr>
        <w:rFonts w:ascii="Helvetica" w:hAnsi="Helvetica"/>
        <w:i/>
        <w:color w:val="8da9db"/>
        <w:sz w:val="22"/>
      </w:rPr>
      <w:pPr>
        <w:jc w:val="right"/>
      </w:pPr>
      <w:tcPr>
        <w:shd w:val="clear" w:color="ffffff" w:fill="auto"/>
        <w:tcBorders>
          <w:top w:val="none" w:color="000000" w:sz="4" w:space="0"/>
          <w:left w:val="none" w:color="000000" w:sz="4" w:space="0"/>
          <w:bottom w:val="none" w:color="000000" w:sz="4" w:space="0"/>
          <w:right w:val="single" w:color="8DA9DB" w:sz="4" w:space="0"/>
          <w:insideH w:val="none" w:color="000000" w:sz="4" w:space="0"/>
          <w:insideV w:val="none" w:color="000000" w:sz="4" w:space="0"/>
        </w:tcBorders>
      </w:tcPr>
    </w:tblStylePr>
    <w:tblStylePr w:type="firstRow">
      <w:rPr>
        <w:rFonts w:ascii="Helvetica" w:hAnsi="Helvetica"/>
        <w:i/>
        <w:color w:val="8da9db"/>
        <w:sz w:val="22"/>
      </w:rPr>
      <w:tcPr>
        <w:shd w:val="clear" w:color="ffffff" w:fill="ffffff"/>
        <w:tcBorders>
          <w:top w:val="none" w:color="000000" w:sz="4" w:space="0"/>
          <w:left w:val="none" w:color="000000" w:sz="4" w:space="0"/>
          <w:bottom w:val="single" w:color="8DA9DB" w:sz="4" w:space="0"/>
          <w:right w:val="none" w:color="000000" w:sz="4" w:space="0"/>
          <w:insideH w:val="none" w:color="000000" w:sz="4" w:space="0"/>
          <w:insideV w:val="none" w:color="000000" w:sz="4" w:space="0"/>
        </w:tcBorders>
      </w:tcPr>
    </w:tblStylePr>
    <w:tblStylePr w:type="lastCol">
      <w:rPr>
        <w:rFonts w:ascii="Helvetica" w:hAnsi="Helvetica"/>
        <w:i/>
        <w:color w:val="8da9db"/>
        <w:sz w:val="22"/>
      </w:rPr>
      <w:tcPr>
        <w:shd w:val="clear" w:color="ffffff" w:fill="auto"/>
        <w:tcBorders>
          <w:top w:val="none" w:color="000000" w:sz="4" w:space="0"/>
          <w:left w:val="single" w:color="8DA9DB"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8da9db"/>
        <w:sz w:val="22"/>
      </w:rPr>
      <w:tcPr>
        <w:shd w:val="clear" w:color="ffffff" w:fill="ffffff"/>
        <w:tcBorders>
          <w:top w:val="single" w:color="8D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List Table 7 Colorful - Accent 6"/>
    <w:basedOn w:val="751"/>
    <w:uiPriority w:val="99"/>
    <w:qFormat/>
    <w:rPr>
      <w:rFonts w:ascii="Times New Roman" w:hAnsi="Times New Roman" w:eastAsia="宋体" w:cs="Times New Roman"/>
    </w:rPr>
    <w:tblPr>
      <w:tblBorders>
        <w:right w:val="single" w:color="A9D08E" w:sz="4" w:space="0"/>
      </w:tblBorders>
    </w:tblPr>
    <w:tblStylePr w:type="band1Horz">
      <w:rPr>
        <w:rFonts w:ascii="Helvetica" w:hAnsi="Helvetica"/>
        <w:color w:val="a9d08e"/>
        <w:sz w:val="22"/>
      </w:rPr>
      <w:tcPr>
        <w:shd w:val="clear" w:color="daebcf" w:fill="daebcf"/>
      </w:tcPr>
    </w:tblStylePr>
    <w:tblStylePr w:type="band1Vert">
      <w:tcPr>
        <w:shd w:val="clear" w:color="daebcf" w:fill="daebcf"/>
      </w:tcPr>
    </w:tblStylePr>
    <w:tblStylePr w:type="band2Horz">
      <w:rPr>
        <w:rFonts w:ascii="Helvetica" w:hAnsi="Helvetica"/>
        <w:color w:val="a9d08e"/>
        <w:sz w:val="22"/>
      </w:rPr>
    </w:tblStylePr>
    <w:tblStylePr w:type="firstCol">
      <w:rPr>
        <w:rFonts w:ascii="Helvetica" w:hAnsi="Helvetica"/>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Helvetica" w:hAnsi="Helvetica"/>
        <w:i/>
        <w:color w:val="a9d08e"/>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Helvetica" w:hAnsi="Helvetica"/>
        <w:i/>
        <w:color w:val="a9d08e"/>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a9d08e"/>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Lined - Accent"/>
    <w:basedOn w:val="751"/>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2f2f2" w:fill="f2f2f2"/>
      </w:tcPr>
    </w:tblStylePr>
    <w:tblStylePr w:type="band2Vert">
      <w:rPr>
        <w:rFonts w:ascii="Helvetica" w:hAnsi="Helvetica"/>
        <w:color w:val="404040"/>
        <w:sz w:val="22"/>
      </w:rPr>
      <w:tcPr>
        <w:shd w:val="clear" w:color="f2f2f2" w:fill="f2f2f2"/>
      </w:tcPr>
    </w:tblStylePr>
    <w:tblStylePr w:type="firstCol">
      <w:rPr>
        <w:rFonts w:ascii="Helvetica" w:hAnsi="Helvetica"/>
        <w:color w:val="f2f2f2"/>
        <w:sz w:val="22"/>
      </w:rPr>
      <w:tcPr>
        <w:shd w:val="clear" w:color="7f7f7f" w:fill="7f7f7f"/>
      </w:tcPr>
    </w:tblStylePr>
    <w:tblStylePr w:type="firstRow">
      <w:rPr>
        <w:rFonts w:ascii="Helvetica" w:hAnsi="Helvetica"/>
        <w:color w:val="f2f2f2"/>
        <w:sz w:val="22"/>
      </w:rPr>
      <w:tcPr>
        <w:shd w:val="clear" w:color="7f7f7f" w:fill="7f7f7f"/>
      </w:tcPr>
    </w:tblStylePr>
    <w:tblStylePr w:type="lastCol">
      <w:rPr>
        <w:rFonts w:ascii="Helvetica" w:hAnsi="Helvetica"/>
        <w:color w:val="f2f2f2"/>
        <w:sz w:val="22"/>
      </w:rPr>
      <w:tcPr>
        <w:shd w:val="clear" w:color="7f7f7f" w:fill="7f7f7f"/>
      </w:tcPr>
    </w:tblStylePr>
    <w:tblStylePr w:type="lastRow">
      <w:rPr>
        <w:rFonts w:ascii="Helvetica" w:hAnsi="Helvetica"/>
        <w:color w:val="f2f2f2"/>
        <w:sz w:val="22"/>
      </w:rPr>
      <w:tcPr>
        <w:shd w:val="clear" w:color="7f7f7f" w:fill="7f7f7f"/>
      </w:tcPr>
    </w:tblStylePr>
  </w:style>
  <w:style w:type="table" w:styleId="938" w:customStyle="1">
    <w:name w:val="Lined - Accent 1"/>
    <w:basedOn w:val="751"/>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cbdff1" w:fill="cbdff1"/>
      </w:tcPr>
    </w:tblStylePr>
    <w:tblStylePr w:type="band2Vert">
      <w:rPr>
        <w:rFonts w:ascii="Helvetica" w:hAnsi="Helvetica"/>
        <w:color w:val="404040"/>
        <w:sz w:val="22"/>
      </w:rPr>
      <w:tcPr>
        <w:shd w:val="clear" w:color="cbdff1" w:fill="cbdff1"/>
      </w:tcPr>
    </w:tblStylePr>
    <w:tblStylePr w:type="firstCol">
      <w:rPr>
        <w:rFonts w:ascii="Helvetica" w:hAnsi="Helvetica"/>
        <w:color w:val="f2f2f2"/>
        <w:sz w:val="22"/>
      </w:rPr>
      <w:tcPr>
        <w:shd w:val="clear" w:color="68a2d8" w:fill="68a2d8"/>
      </w:tcPr>
    </w:tblStylePr>
    <w:tblStylePr w:type="firstRow">
      <w:rPr>
        <w:rFonts w:ascii="Helvetica" w:hAnsi="Helvetica"/>
        <w:color w:val="f2f2f2"/>
        <w:sz w:val="22"/>
      </w:rPr>
      <w:tcPr>
        <w:shd w:val="clear" w:color="68a2d8" w:fill="68a2d8"/>
      </w:tcPr>
    </w:tblStylePr>
    <w:tblStylePr w:type="lastCol">
      <w:rPr>
        <w:rFonts w:ascii="Helvetica" w:hAnsi="Helvetica"/>
        <w:color w:val="f2f2f2"/>
        <w:sz w:val="22"/>
      </w:rPr>
      <w:tcPr>
        <w:shd w:val="clear" w:color="68a2d8" w:fill="68a2d8"/>
      </w:tcPr>
    </w:tblStylePr>
    <w:tblStylePr w:type="lastRow">
      <w:rPr>
        <w:rFonts w:ascii="Helvetica" w:hAnsi="Helvetica"/>
        <w:color w:val="f2f2f2"/>
        <w:sz w:val="22"/>
      </w:rPr>
      <w:tcPr>
        <w:shd w:val="clear" w:color="68a2d8" w:fill="68a2d8"/>
      </w:tcPr>
    </w:tblStylePr>
  </w:style>
  <w:style w:type="table" w:styleId="939" w:customStyle="1">
    <w:name w:val="Lined - Accent 2"/>
    <w:basedOn w:val="751"/>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be5d6" w:fill="fbe5d6"/>
      </w:tcPr>
    </w:tblStylePr>
    <w:tblStylePr w:type="band2Vert">
      <w:rPr>
        <w:rFonts w:ascii="Helvetica" w:hAnsi="Helvetica"/>
        <w:color w:val="404040"/>
        <w:sz w:val="22"/>
      </w:rPr>
      <w:tcPr>
        <w:shd w:val="clear" w:color="fbe5d6" w:fill="fbe5d6"/>
      </w:tcPr>
    </w:tblStylePr>
    <w:tblStylePr w:type="firstCol">
      <w:rPr>
        <w:rFonts w:ascii="Helvetica" w:hAnsi="Helvetica"/>
        <w:color w:val="f2f2f2"/>
        <w:sz w:val="22"/>
      </w:rPr>
      <w:tcPr>
        <w:shd w:val="clear" w:color="f4b184" w:fill="f4b184"/>
      </w:tcPr>
    </w:tblStylePr>
    <w:tblStylePr w:type="firstRow">
      <w:rPr>
        <w:rFonts w:ascii="Helvetica" w:hAnsi="Helvetica"/>
        <w:color w:val="f2f2f2"/>
        <w:sz w:val="22"/>
      </w:rPr>
      <w:tcPr>
        <w:shd w:val="clear" w:color="f4b184" w:fill="f4b184"/>
      </w:tcPr>
    </w:tblStylePr>
    <w:tblStylePr w:type="lastCol">
      <w:rPr>
        <w:rFonts w:ascii="Helvetica" w:hAnsi="Helvetica"/>
        <w:color w:val="f2f2f2"/>
        <w:sz w:val="22"/>
      </w:rPr>
      <w:tcPr>
        <w:shd w:val="clear" w:color="f4b184" w:fill="f4b184"/>
      </w:tcPr>
    </w:tblStylePr>
    <w:tblStylePr w:type="lastRow">
      <w:rPr>
        <w:rFonts w:ascii="Helvetica" w:hAnsi="Helvetica"/>
        <w:color w:val="f2f2f2"/>
        <w:sz w:val="22"/>
      </w:rPr>
      <w:tcPr>
        <w:shd w:val="clear" w:color="f4b184" w:fill="f4b184"/>
      </w:tcPr>
    </w:tblStylePr>
  </w:style>
  <w:style w:type="table" w:styleId="940" w:customStyle="1">
    <w:name w:val="Lined - Accent 3"/>
    <w:basedOn w:val="751"/>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cecec" w:fill="ececec"/>
      </w:tcPr>
    </w:tblStylePr>
    <w:tblStylePr w:type="band2Vert">
      <w:rPr>
        <w:rFonts w:ascii="Helvetica" w:hAnsi="Helvetica"/>
        <w:color w:val="404040"/>
        <w:sz w:val="22"/>
      </w:rPr>
      <w:tcPr>
        <w:shd w:val="clear" w:color="ececec" w:fill="ececec"/>
      </w:tcPr>
    </w:tblStylePr>
    <w:tblStylePr w:type="firstCol">
      <w:rPr>
        <w:rFonts w:ascii="Helvetica" w:hAnsi="Helvetica"/>
        <w:color w:val="f2f2f2"/>
        <w:sz w:val="22"/>
      </w:rPr>
      <w:tcPr>
        <w:shd w:val="clear" w:color="a5a5a5" w:fill="a5a5a5"/>
      </w:tcPr>
    </w:tblStylePr>
    <w:tblStylePr w:type="firstRow">
      <w:rPr>
        <w:rFonts w:ascii="Helvetica" w:hAnsi="Helvetica"/>
        <w:color w:val="f2f2f2"/>
        <w:sz w:val="22"/>
      </w:rPr>
      <w:tcPr>
        <w:shd w:val="clear" w:color="a5a5a5" w:fill="a5a5a5"/>
      </w:tcPr>
    </w:tblStylePr>
    <w:tblStylePr w:type="lastCol">
      <w:rPr>
        <w:rFonts w:ascii="Helvetica" w:hAnsi="Helvetica"/>
        <w:color w:val="f2f2f2"/>
        <w:sz w:val="22"/>
      </w:rPr>
      <w:tcPr>
        <w:shd w:val="clear" w:color="a5a5a5" w:fill="a5a5a5"/>
      </w:tcPr>
    </w:tblStylePr>
    <w:tblStylePr w:type="lastRow">
      <w:rPr>
        <w:rFonts w:ascii="Helvetica" w:hAnsi="Helvetica"/>
        <w:color w:val="f2f2f2"/>
        <w:sz w:val="22"/>
      </w:rPr>
      <w:tcPr>
        <w:shd w:val="clear" w:color="a5a5a5" w:fill="a5a5a5"/>
      </w:tcPr>
    </w:tblStylePr>
  </w:style>
  <w:style w:type="table" w:styleId="941" w:customStyle="1">
    <w:name w:val="Lined - Accent 4"/>
    <w:basedOn w:val="751"/>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ff2cb" w:fill="fff2cb"/>
      </w:tcPr>
    </w:tblStylePr>
    <w:tblStylePr w:type="band2Vert">
      <w:rPr>
        <w:rFonts w:ascii="Helvetica" w:hAnsi="Helvetica"/>
        <w:color w:val="404040"/>
        <w:sz w:val="22"/>
      </w:rPr>
      <w:tcPr>
        <w:shd w:val="clear" w:color="fff2cb" w:fill="fff2cb"/>
      </w:tcPr>
    </w:tblStylePr>
    <w:tblStylePr w:type="firstCol">
      <w:rPr>
        <w:rFonts w:ascii="Helvetica" w:hAnsi="Helvetica"/>
        <w:color w:val="f2f2f2"/>
        <w:sz w:val="22"/>
      </w:rPr>
      <w:tcPr>
        <w:shd w:val="clear" w:color="ffd865" w:fill="ffd865"/>
      </w:tcPr>
    </w:tblStylePr>
    <w:tblStylePr w:type="firstRow">
      <w:rPr>
        <w:rFonts w:ascii="Helvetica" w:hAnsi="Helvetica"/>
        <w:color w:val="f2f2f2"/>
        <w:sz w:val="22"/>
      </w:rPr>
      <w:tcPr>
        <w:shd w:val="clear" w:color="ffd865" w:fill="ffd865"/>
      </w:tcPr>
    </w:tblStylePr>
    <w:tblStylePr w:type="lastCol">
      <w:rPr>
        <w:rFonts w:ascii="Helvetica" w:hAnsi="Helvetica"/>
        <w:color w:val="f2f2f2"/>
        <w:sz w:val="22"/>
      </w:rPr>
      <w:tcPr>
        <w:shd w:val="clear" w:color="ffd865" w:fill="ffd865"/>
      </w:tcPr>
    </w:tblStylePr>
    <w:tblStylePr w:type="lastRow">
      <w:rPr>
        <w:rFonts w:ascii="Helvetica" w:hAnsi="Helvetica"/>
        <w:color w:val="f2f2f2"/>
        <w:sz w:val="22"/>
      </w:rPr>
      <w:tcPr>
        <w:shd w:val="clear" w:color="ffd865" w:fill="ffd865"/>
      </w:tcPr>
    </w:tblStylePr>
  </w:style>
  <w:style w:type="table" w:styleId="942" w:customStyle="1">
    <w:name w:val="Lined - Accent 5"/>
    <w:basedOn w:val="751"/>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d8e2f3" w:fill="d8e2f3"/>
      </w:tcPr>
    </w:tblStylePr>
    <w:tblStylePr w:type="band2Vert">
      <w:rPr>
        <w:rFonts w:ascii="Helvetica" w:hAnsi="Helvetica"/>
        <w:color w:val="404040"/>
        <w:sz w:val="22"/>
      </w:rPr>
      <w:tcPr>
        <w:shd w:val="clear" w:color="d8e2f3" w:fill="d8e2f3"/>
      </w:tcPr>
    </w:tblStylePr>
    <w:tblStylePr w:type="firstCol">
      <w:rPr>
        <w:rFonts w:ascii="Helvetica" w:hAnsi="Helvetica"/>
        <w:color w:val="f2f2f2"/>
        <w:sz w:val="22"/>
      </w:rPr>
      <w:tcPr>
        <w:shd w:val="clear" w:color="4472c4" w:fill="4472c4"/>
      </w:tcPr>
    </w:tblStylePr>
    <w:tblStylePr w:type="firstRow">
      <w:rPr>
        <w:rFonts w:ascii="Helvetica" w:hAnsi="Helvetica"/>
        <w:color w:val="f2f2f2"/>
        <w:sz w:val="22"/>
      </w:rPr>
      <w:tcPr>
        <w:shd w:val="clear" w:color="4472c4" w:fill="4472c4"/>
      </w:tcPr>
    </w:tblStylePr>
    <w:tblStylePr w:type="lastCol">
      <w:rPr>
        <w:rFonts w:ascii="Helvetica" w:hAnsi="Helvetica"/>
        <w:color w:val="f2f2f2"/>
        <w:sz w:val="22"/>
      </w:rPr>
      <w:tcPr>
        <w:shd w:val="clear" w:color="4472c4" w:fill="4472c4"/>
      </w:tcPr>
    </w:tblStylePr>
    <w:tblStylePr w:type="lastRow">
      <w:rPr>
        <w:rFonts w:ascii="Helvetica" w:hAnsi="Helvetica"/>
        <w:color w:val="f2f2f2"/>
        <w:sz w:val="22"/>
      </w:rPr>
      <w:tcPr>
        <w:shd w:val="clear" w:color="4472c4" w:fill="4472c4"/>
      </w:tcPr>
    </w:tblStylePr>
  </w:style>
  <w:style w:type="table" w:styleId="943" w:customStyle="1">
    <w:name w:val="Lined - Accent 6"/>
    <w:basedOn w:val="751"/>
    <w:uiPriority w:val="99"/>
    <w:qFormat/>
    <w:rPr>
      <w:rFonts w:ascii="Times New Roman" w:hAnsi="Times New Roman" w:eastAsia="宋体" w:cs="Times New Roman"/>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1efd8" w:fill="e1efd8"/>
      </w:tcPr>
    </w:tblStylePr>
    <w:tblStylePr w:type="band2Vert">
      <w:rPr>
        <w:rFonts w:ascii="Helvetica" w:hAnsi="Helvetica"/>
        <w:color w:val="404040"/>
        <w:sz w:val="22"/>
      </w:rPr>
      <w:tcPr>
        <w:shd w:val="clear" w:color="e1efd8" w:fill="e1efd8"/>
      </w:tcPr>
    </w:tblStylePr>
    <w:tblStylePr w:type="firstCol">
      <w:rPr>
        <w:rFonts w:ascii="Helvetica" w:hAnsi="Helvetica"/>
        <w:color w:val="f2f2f2"/>
        <w:sz w:val="22"/>
      </w:rPr>
      <w:tcPr>
        <w:shd w:val="clear" w:color="70ad47" w:fill="70ad47"/>
      </w:tcPr>
    </w:tblStylePr>
    <w:tblStylePr w:type="firstRow">
      <w:rPr>
        <w:rFonts w:ascii="Helvetica" w:hAnsi="Helvetica"/>
        <w:color w:val="f2f2f2"/>
        <w:sz w:val="22"/>
      </w:rPr>
      <w:tcPr>
        <w:shd w:val="clear" w:color="70ad47" w:fill="70ad47"/>
      </w:tcPr>
    </w:tblStylePr>
    <w:tblStylePr w:type="lastCol">
      <w:rPr>
        <w:rFonts w:ascii="Helvetica" w:hAnsi="Helvetica"/>
        <w:color w:val="f2f2f2"/>
        <w:sz w:val="22"/>
      </w:rPr>
      <w:tcPr>
        <w:shd w:val="clear" w:color="70ad47" w:fill="70ad47"/>
      </w:tcPr>
    </w:tblStylePr>
    <w:tblStylePr w:type="lastRow">
      <w:rPr>
        <w:rFonts w:ascii="Helvetica" w:hAnsi="Helvetica"/>
        <w:color w:val="f2f2f2"/>
        <w:sz w:val="22"/>
      </w:rPr>
      <w:tcPr>
        <w:shd w:val="clear" w:color="70ad47" w:fill="70ad47"/>
      </w:tcPr>
    </w:tblStylePr>
  </w:style>
  <w:style w:type="table" w:styleId="944" w:customStyle="1">
    <w:name w:val="Bordered &amp; Lined - Accent"/>
    <w:basedOn w:val="751"/>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2f2f2" w:fill="f2f2f2"/>
      </w:tcPr>
    </w:tblStylePr>
    <w:tblStylePr w:type="band2Vert">
      <w:rPr>
        <w:rFonts w:ascii="Helvetica" w:hAnsi="Helvetica"/>
        <w:color w:val="404040"/>
        <w:sz w:val="22"/>
      </w:rPr>
      <w:tcPr>
        <w:shd w:val="clear" w:color="f2f2f2" w:fill="f2f2f2"/>
      </w:tcPr>
    </w:tblStylePr>
    <w:tblStylePr w:type="firstCol">
      <w:rPr>
        <w:rFonts w:ascii="Helvetica" w:hAnsi="Helvetica"/>
        <w:color w:val="f2f2f2"/>
        <w:sz w:val="22"/>
      </w:rPr>
      <w:tcPr>
        <w:shd w:val="clear" w:color="7f7f7f" w:fill="7f7f7f"/>
      </w:tcPr>
    </w:tblStylePr>
    <w:tblStylePr w:type="firstRow">
      <w:rPr>
        <w:rFonts w:ascii="Helvetica" w:hAnsi="Helvetica"/>
        <w:color w:val="f2f2f2"/>
        <w:sz w:val="22"/>
      </w:rPr>
      <w:tcPr>
        <w:shd w:val="clear" w:color="7f7f7f" w:fill="7f7f7f"/>
      </w:tcPr>
    </w:tblStylePr>
    <w:tblStylePr w:type="lastCol">
      <w:rPr>
        <w:rFonts w:ascii="Helvetica" w:hAnsi="Helvetica"/>
        <w:color w:val="f2f2f2"/>
        <w:sz w:val="22"/>
      </w:rPr>
      <w:tcPr>
        <w:shd w:val="clear" w:color="7f7f7f" w:fill="7f7f7f"/>
      </w:tcPr>
    </w:tblStylePr>
    <w:tblStylePr w:type="lastRow">
      <w:rPr>
        <w:rFonts w:ascii="Helvetica" w:hAnsi="Helvetica"/>
        <w:color w:val="f2f2f2"/>
        <w:sz w:val="22"/>
      </w:rPr>
      <w:tcPr>
        <w:shd w:val="clear" w:color="7f7f7f" w:fill="7f7f7f"/>
      </w:tcPr>
    </w:tblStylePr>
  </w:style>
  <w:style w:type="table" w:styleId="945" w:customStyle="1">
    <w:name w:val="Bordered &amp; Lined - Accent 1"/>
    <w:basedOn w:val="751"/>
    <w:uiPriority w:val="99"/>
    <w:qFormat/>
    <w:rPr>
      <w:rFonts w:ascii="Times New Roman" w:hAnsi="Times New Roman" w:eastAsia="宋体" w:cs="Times New Roman"/>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cbdff1" w:fill="cbdff1"/>
      </w:tcPr>
    </w:tblStylePr>
    <w:tblStylePr w:type="band2Vert">
      <w:rPr>
        <w:rFonts w:ascii="Helvetica" w:hAnsi="Helvetica"/>
        <w:color w:val="404040"/>
        <w:sz w:val="22"/>
      </w:rPr>
      <w:tcPr>
        <w:shd w:val="clear" w:color="cbdff1" w:fill="cbdff1"/>
      </w:tcPr>
    </w:tblStylePr>
    <w:tblStylePr w:type="firstCol">
      <w:rPr>
        <w:rFonts w:ascii="Helvetica" w:hAnsi="Helvetica"/>
        <w:color w:val="f2f2f2"/>
        <w:sz w:val="22"/>
      </w:rPr>
      <w:tcPr>
        <w:shd w:val="clear" w:color="68a2d8" w:fill="68a2d8"/>
      </w:tcPr>
    </w:tblStylePr>
    <w:tblStylePr w:type="firstRow">
      <w:rPr>
        <w:rFonts w:ascii="Helvetica" w:hAnsi="Helvetica"/>
        <w:color w:val="f2f2f2"/>
        <w:sz w:val="22"/>
      </w:rPr>
      <w:tcPr>
        <w:shd w:val="clear" w:color="68a2d8" w:fill="68a2d8"/>
      </w:tcPr>
    </w:tblStylePr>
    <w:tblStylePr w:type="lastCol">
      <w:rPr>
        <w:rFonts w:ascii="Helvetica" w:hAnsi="Helvetica"/>
        <w:color w:val="f2f2f2"/>
        <w:sz w:val="22"/>
      </w:rPr>
      <w:tcPr>
        <w:shd w:val="clear" w:color="68a2d8" w:fill="68a2d8"/>
      </w:tcPr>
    </w:tblStylePr>
    <w:tblStylePr w:type="lastRow">
      <w:rPr>
        <w:rFonts w:ascii="Helvetica" w:hAnsi="Helvetica"/>
        <w:color w:val="f2f2f2"/>
        <w:sz w:val="22"/>
      </w:rPr>
      <w:tcPr>
        <w:shd w:val="clear" w:color="68a2d8" w:fill="68a2d8"/>
      </w:tcPr>
    </w:tblStylePr>
  </w:style>
  <w:style w:type="table" w:styleId="946" w:customStyle="1">
    <w:name w:val="Bordered &amp; Lined - Accent 2"/>
    <w:basedOn w:val="751"/>
    <w:uiPriority w:val="99"/>
    <w:qFormat/>
    <w:rPr>
      <w:rFonts w:ascii="Times New Roman" w:hAnsi="Times New Roman" w:eastAsia="宋体" w:cs="Times New Roman"/>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be5d6" w:fill="fbe5d6"/>
      </w:tcPr>
    </w:tblStylePr>
    <w:tblStylePr w:type="band2Vert">
      <w:rPr>
        <w:rFonts w:ascii="Helvetica" w:hAnsi="Helvetica"/>
        <w:color w:val="404040"/>
        <w:sz w:val="22"/>
      </w:rPr>
      <w:tcPr>
        <w:shd w:val="clear" w:color="fbe5d6" w:fill="fbe5d6"/>
      </w:tcPr>
    </w:tblStylePr>
    <w:tblStylePr w:type="firstCol">
      <w:rPr>
        <w:rFonts w:ascii="Helvetica" w:hAnsi="Helvetica"/>
        <w:color w:val="f2f2f2"/>
        <w:sz w:val="22"/>
      </w:rPr>
      <w:tcPr>
        <w:shd w:val="clear" w:color="f4b184" w:fill="f4b184"/>
      </w:tcPr>
    </w:tblStylePr>
    <w:tblStylePr w:type="firstRow">
      <w:rPr>
        <w:rFonts w:ascii="Helvetica" w:hAnsi="Helvetica"/>
        <w:color w:val="f2f2f2"/>
        <w:sz w:val="22"/>
      </w:rPr>
      <w:tcPr>
        <w:shd w:val="clear" w:color="f4b184" w:fill="f4b184"/>
      </w:tcPr>
    </w:tblStylePr>
    <w:tblStylePr w:type="lastCol">
      <w:rPr>
        <w:rFonts w:ascii="Helvetica" w:hAnsi="Helvetica"/>
        <w:color w:val="f2f2f2"/>
        <w:sz w:val="22"/>
      </w:rPr>
      <w:tcPr>
        <w:shd w:val="clear" w:color="f4b184" w:fill="f4b184"/>
      </w:tcPr>
    </w:tblStylePr>
    <w:tblStylePr w:type="lastRow">
      <w:rPr>
        <w:rFonts w:ascii="Helvetica" w:hAnsi="Helvetica"/>
        <w:color w:val="f2f2f2"/>
        <w:sz w:val="22"/>
      </w:rPr>
      <w:tcPr>
        <w:shd w:val="clear" w:color="f4b184" w:fill="f4b184"/>
      </w:tcPr>
    </w:tblStylePr>
  </w:style>
  <w:style w:type="table" w:styleId="947" w:customStyle="1">
    <w:name w:val="Bordered &amp; Lined - Accent 3"/>
    <w:basedOn w:val="751"/>
    <w:uiPriority w:val="99"/>
    <w:qFormat/>
    <w:rPr>
      <w:rFonts w:ascii="Times New Roman" w:hAnsi="Times New Roman" w:eastAsia="宋体" w:cs="Times New Roman"/>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cecec" w:fill="ececec"/>
      </w:tcPr>
    </w:tblStylePr>
    <w:tblStylePr w:type="band2Vert">
      <w:rPr>
        <w:rFonts w:ascii="Helvetica" w:hAnsi="Helvetica"/>
        <w:color w:val="404040"/>
        <w:sz w:val="22"/>
      </w:rPr>
      <w:tcPr>
        <w:shd w:val="clear" w:color="ececec" w:fill="ececec"/>
      </w:tcPr>
    </w:tblStylePr>
    <w:tblStylePr w:type="firstCol">
      <w:rPr>
        <w:rFonts w:ascii="Helvetica" w:hAnsi="Helvetica"/>
        <w:color w:val="f2f2f2"/>
        <w:sz w:val="22"/>
      </w:rPr>
      <w:tcPr>
        <w:shd w:val="clear" w:color="a5a5a5" w:fill="a5a5a5"/>
      </w:tcPr>
    </w:tblStylePr>
    <w:tblStylePr w:type="firstRow">
      <w:rPr>
        <w:rFonts w:ascii="Helvetica" w:hAnsi="Helvetica"/>
        <w:color w:val="f2f2f2"/>
        <w:sz w:val="22"/>
      </w:rPr>
      <w:tcPr>
        <w:shd w:val="clear" w:color="a5a5a5" w:fill="a5a5a5"/>
      </w:tcPr>
    </w:tblStylePr>
    <w:tblStylePr w:type="lastCol">
      <w:rPr>
        <w:rFonts w:ascii="Helvetica" w:hAnsi="Helvetica"/>
        <w:color w:val="f2f2f2"/>
        <w:sz w:val="22"/>
      </w:rPr>
      <w:tcPr>
        <w:shd w:val="clear" w:color="a5a5a5" w:fill="a5a5a5"/>
      </w:tcPr>
    </w:tblStylePr>
    <w:tblStylePr w:type="lastRow">
      <w:rPr>
        <w:rFonts w:ascii="Helvetica" w:hAnsi="Helvetica"/>
        <w:color w:val="f2f2f2"/>
        <w:sz w:val="22"/>
      </w:rPr>
      <w:tcPr>
        <w:shd w:val="clear" w:color="a5a5a5" w:fill="a5a5a5"/>
      </w:tcPr>
    </w:tblStylePr>
  </w:style>
  <w:style w:type="table" w:styleId="948" w:customStyle="1">
    <w:name w:val="Bordered &amp; Lined - Accent 4"/>
    <w:basedOn w:val="751"/>
    <w:uiPriority w:val="99"/>
    <w:qFormat/>
    <w:rPr>
      <w:rFonts w:ascii="Times New Roman" w:hAnsi="Times New Roman" w:eastAsia="宋体" w:cs="Times New Roman"/>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ff2cb" w:fill="fff2cb"/>
      </w:tcPr>
    </w:tblStylePr>
    <w:tblStylePr w:type="band2Vert">
      <w:rPr>
        <w:rFonts w:ascii="Helvetica" w:hAnsi="Helvetica"/>
        <w:color w:val="404040"/>
        <w:sz w:val="22"/>
      </w:rPr>
      <w:tcPr>
        <w:shd w:val="clear" w:color="fff2cb" w:fill="fff2cb"/>
      </w:tcPr>
    </w:tblStylePr>
    <w:tblStylePr w:type="firstCol">
      <w:rPr>
        <w:rFonts w:ascii="Helvetica" w:hAnsi="Helvetica"/>
        <w:color w:val="f2f2f2"/>
        <w:sz w:val="22"/>
      </w:rPr>
      <w:tcPr>
        <w:shd w:val="clear" w:color="ffd865" w:fill="ffd865"/>
      </w:tcPr>
    </w:tblStylePr>
    <w:tblStylePr w:type="firstRow">
      <w:rPr>
        <w:rFonts w:ascii="Helvetica" w:hAnsi="Helvetica"/>
        <w:color w:val="f2f2f2"/>
        <w:sz w:val="22"/>
      </w:rPr>
      <w:tcPr>
        <w:shd w:val="clear" w:color="ffd865" w:fill="ffd865"/>
      </w:tcPr>
    </w:tblStylePr>
    <w:tblStylePr w:type="lastCol">
      <w:rPr>
        <w:rFonts w:ascii="Helvetica" w:hAnsi="Helvetica"/>
        <w:color w:val="f2f2f2"/>
        <w:sz w:val="22"/>
      </w:rPr>
      <w:tcPr>
        <w:shd w:val="clear" w:color="ffd865" w:fill="ffd865"/>
      </w:tcPr>
    </w:tblStylePr>
    <w:tblStylePr w:type="lastRow">
      <w:rPr>
        <w:rFonts w:ascii="Helvetica" w:hAnsi="Helvetica"/>
        <w:color w:val="f2f2f2"/>
        <w:sz w:val="22"/>
      </w:rPr>
      <w:tcPr>
        <w:shd w:val="clear" w:color="ffd865" w:fill="ffd865"/>
      </w:tcPr>
    </w:tblStylePr>
  </w:style>
  <w:style w:type="table" w:styleId="949" w:customStyle="1">
    <w:name w:val="Bordered &amp; Lined - Accent 5"/>
    <w:basedOn w:val="751"/>
    <w:uiPriority w:val="99"/>
    <w:qFormat/>
    <w:rPr>
      <w:rFonts w:ascii="Times New Roman" w:hAnsi="Times New Roman" w:eastAsia="宋体" w:cs="Times New Roman"/>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d8e2f3" w:fill="d8e2f3"/>
      </w:tcPr>
    </w:tblStylePr>
    <w:tblStylePr w:type="band2Vert">
      <w:rPr>
        <w:rFonts w:ascii="Helvetica" w:hAnsi="Helvetica"/>
        <w:color w:val="404040"/>
        <w:sz w:val="22"/>
      </w:rPr>
      <w:tcPr>
        <w:shd w:val="clear" w:color="d8e2f3" w:fill="d8e2f3"/>
      </w:tcPr>
    </w:tblStylePr>
    <w:tblStylePr w:type="firstCol">
      <w:rPr>
        <w:rFonts w:ascii="Helvetica" w:hAnsi="Helvetica"/>
        <w:color w:val="f2f2f2"/>
        <w:sz w:val="22"/>
      </w:rPr>
      <w:tcPr>
        <w:shd w:val="clear" w:color="4472c4" w:fill="4472c4"/>
      </w:tcPr>
    </w:tblStylePr>
    <w:tblStylePr w:type="firstRow">
      <w:rPr>
        <w:rFonts w:ascii="Helvetica" w:hAnsi="Helvetica"/>
        <w:color w:val="f2f2f2"/>
        <w:sz w:val="22"/>
      </w:rPr>
      <w:tcPr>
        <w:shd w:val="clear" w:color="4472c4" w:fill="4472c4"/>
      </w:tcPr>
    </w:tblStylePr>
    <w:tblStylePr w:type="lastCol">
      <w:rPr>
        <w:rFonts w:ascii="Helvetica" w:hAnsi="Helvetica"/>
        <w:color w:val="f2f2f2"/>
        <w:sz w:val="22"/>
      </w:rPr>
      <w:tcPr>
        <w:shd w:val="clear" w:color="4472c4" w:fill="4472c4"/>
      </w:tcPr>
    </w:tblStylePr>
    <w:tblStylePr w:type="lastRow">
      <w:rPr>
        <w:rFonts w:ascii="Helvetica" w:hAnsi="Helvetica"/>
        <w:color w:val="f2f2f2"/>
        <w:sz w:val="22"/>
      </w:rPr>
      <w:tcPr>
        <w:shd w:val="clear" w:color="4472c4" w:fill="4472c4"/>
      </w:tcPr>
    </w:tblStylePr>
  </w:style>
  <w:style w:type="table" w:styleId="950" w:customStyle="1">
    <w:name w:val="Bordered &amp; Lined - Accent 6"/>
    <w:basedOn w:val="751"/>
    <w:uiPriority w:val="99"/>
    <w:qFormat/>
    <w:rPr>
      <w:rFonts w:ascii="Times New Roman" w:hAnsi="Times New Roman" w:eastAsia="宋体" w:cs="Times New Roman"/>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1efd8" w:fill="e1efd8"/>
      </w:tcPr>
    </w:tblStylePr>
    <w:tblStylePr w:type="band2Vert">
      <w:rPr>
        <w:rFonts w:ascii="Helvetica" w:hAnsi="Helvetica"/>
        <w:color w:val="404040"/>
        <w:sz w:val="22"/>
      </w:rPr>
      <w:tcPr>
        <w:shd w:val="clear" w:color="e1efd8" w:fill="e1efd8"/>
      </w:tcPr>
    </w:tblStylePr>
    <w:tblStylePr w:type="firstCol">
      <w:rPr>
        <w:rFonts w:ascii="Helvetica" w:hAnsi="Helvetica"/>
        <w:color w:val="f2f2f2"/>
        <w:sz w:val="22"/>
      </w:rPr>
      <w:tcPr>
        <w:shd w:val="clear" w:color="70ad47" w:fill="70ad47"/>
      </w:tcPr>
    </w:tblStylePr>
    <w:tblStylePr w:type="firstRow">
      <w:rPr>
        <w:rFonts w:ascii="Helvetica" w:hAnsi="Helvetica"/>
        <w:color w:val="f2f2f2"/>
        <w:sz w:val="22"/>
      </w:rPr>
      <w:tcPr>
        <w:shd w:val="clear" w:color="70ad47" w:fill="70ad47"/>
      </w:tcPr>
    </w:tblStylePr>
    <w:tblStylePr w:type="lastCol">
      <w:rPr>
        <w:rFonts w:ascii="Helvetica" w:hAnsi="Helvetica"/>
        <w:color w:val="f2f2f2"/>
        <w:sz w:val="22"/>
      </w:rPr>
      <w:tcPr>
        <w:shd w:val="clear" w:color="70ad47" w:fill="70ad47"/>
      </w:tcPr>
    </w:tblStylePr>
    <w:tblStylePr w:type="lastRow">
      <w:rPr>
        <w:rFonts w:ascii="Helvetica" w:hAnsi="Helvetica"/>
        <w:color w:val="f2f2f2"/>
        <w:sz w:val="22"/>
      </w:rPr>
      <w:tcPr>
        <w:shd w:val="clear" w:color="70ad47" w:fill="70ad47"/>
      </w:tcPr>
    </w:tblStylePr>
  </w:style>
  <w:style w:type="table" w:styleId="951" w:customStyle="1">
    <w:name w:val="Bordered"/>
    <w:basedOn w:val="751"/>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Helvetica" w:hAnsi="Helvetica"/>
        <w:color w:val="404040"/>
        <w:sz w:val="22"/>
      </w:rPr>
      <w:tcPr>
        <w:tcBorders>
          <w:top w:val="single" w:color="D9D9D9" w:sz="4" w:space="0"/>
          <w:left w:val="single" w:color="D9D9D9" w:sz="4" w:space="0"/>
          <w:bottom w:val="single" w:color="D9D9D9" w:sz="4" w:space="0"/>
          <w:right w:val="single" w:color="D9D9D9"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7F7F7F"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7F7F7F"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Bordered - Accent 1"/>
    <w:basedOn w:val="751"/>
    <w:uiPriority w:val="99"/>
    <w:qFormat/>
    <w:rPr>
      <w:rFonts w:ascii="Times New Roman" w:hAnsi="Times New Roman"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Helvetica" w:hAnsi="Helvetica"/>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Bordered - Accent 2"/>
    <w:basedOn w:val="751"/>
    <w:uiPriority w:val="99"/>
    <w:qFormat/>
    <w:rPr>
      <w:rFonts w:ascii="Times New Roman" w:hAnsi="Times New Roman"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Helvetica" w:hAnsi="Helvetica"/>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F4B184"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F4B184"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F4B18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Bordered - Accent 3"/>
    <w:basedOn w:val="751"/>
    <w:uiPriority w:val="99"/>
    <w:qFormat/>
    <w:rPr>
      <w:rFonts w:ascii="Times New Roman" w:hAnsi="Times New Roman"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Helvetica" w:hAnsi="Helvetica"/>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Bordered - Accent 4"/>
    <w:basedOn w:val="751"/>
    <w:uiPriority w:val="99"/>
    <w:qFormat/>
    <w:rPr>
      <w:rFonts w:ascii="Times New Roman" w:hAnsi="Times New Roman" w:eastAsia="宋体" w:cs="Times New Roman"/>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Helvetica" w:hAnsi="Helvetica"/>
        <w:color w:val="404040"/>
        <w:sz w:val="22"/>
      </w:rPr>
      <w:tcPr>
        <w:tcBorders>
          <w:top w:val="single" w:color="FFE598" w:sz="4" w:space="0"/>
          <w:left w:val="single" w:color="FFE598" w:sz="4" w:space="0"/>
          <w:bottom w:val="single" w:color="FFE598" w:sz="4" w:space="0"/>
          <w:right w:val="single" w:color="FFE598"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FFD865"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FFD865"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FFD86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Bordered - Accent 5"/>
    <w:basedOn w:val="751"/>
    <w:uiPriority w:val="99"/>
    <w:qFormat/>
    <w:rPr>
      <w:rFonts w:ascii="Times New Roman" w:hAnsi="Times New Roman" w:eastAsia="宋体" w:cs="Times New Roman"/>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Helvetica" w:hAnsi="Helvetica"/>
        <w:color w:val="404040"/>
        <w:sz w:val="22"/>
      </w:rPr>
      <w:tcPr>
        <w:tcBorders>
          <w:top w:val="single" w:color="B3C5E7" w:sz="4" w:space="0"/>
          <w:left w:val="single" w:color="B3C5E7" w:sz="4" w:space="0"/>
          <w:bottom w:val="single" w:color="B3C5E7" w:sz="4" w:space="0"/>
          <w:right w:val="single" w:color="B3C5E7"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8DA9DB"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8DA9DB"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8D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Bordered - Accent 6"/>
    <w:basedOn w:val="751"/>
    <w:uiPriority w:val="99"/>
    <w:qFormat/>
    <w:rPr>
      <w:rFonts w:ascii="Times New Roman" w:hAnsi="Times New Roman"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Helvetica" w:hAnsi="Helvetica"/>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58" w:customStyle="1">
    <w:name w:val="TOC 标题1"/>
    <w:uiPriority w:val="39"/>
    <w:qFormat/>
    <w:rPr>
      <w:rFonts w:ascii="Times New Roman" w:hAnsi="Times New Roman" w:eastAsia="宋体" w:cs="Times New Roman"/>
    </w:rPr>
  </w:style>
  <w:style w:type="paragraph" w:styleId="959" w:customStyle="1">
    <w:name w:val="普通正文"/>
    <w:basedOn w:val="747"/>
    <w:qFormat/>
    <w:pPr>
      <w:ind w:firstLine="480"/>
      <w:spacing w:before="120" w:after="120" w:line="360" w:lineRule="auto"/>
    </w:pPr>
    <w:rPr>
      <w:rFonts w:ascii="Arial" w:hAnsi="Arial" w:eastAsia="宋体" w:cs="Times New Roman"/>
      <w:sz w:val="24"/>
      <w:szCs w:val="24"/>
    </w:rPr>
  </w:style>
  <w:style w:type="paragraph" w:styleId="960" w:customStyle="1">
    <w:name w:val="无间隔1"/>
    <w:qFormat/>
    <w:pPr>
      <w:jc w:val="both"/>
      <w:widowControl w:val="off"/>
    </w:pPr>
    <w:rPr>
      <w:rFonts w:ascii="Times New Roman" w:hAnsi="Times New Roman" w:eastAsia="宋体" w:cs="Times New Roman"/>
      <w:sz w:val="21"/>
      <w:szCs w:val="21"/>
    </w:rPr>
  </w:style>
  <w:style w:type="paragraph" w:styleId="961" w:customStyle="1">
    <w:name w:val="纯文本1"/>
    <w:basedOn w:val="747"/>
    <w:qFormat/>
    <w:rPr>
      <w:rFonts w:ascii="宋体" w:hAnsi="Courier New" w:eastAsia="宋体" w:cs="Times New Roman"/>
      <w:szCs w:val="24"/>
    </w:rPr>
  </w:style>
  <w:style w:type="paragraph" w:styleId="962" w:customStyle="1">
    <w:name w:val="Char"/>
    <w:basedOn w:val="747"/>
    <w:qFormat/>
    <w:pPr>
      <w:ind w:firstLine="200"/>
      <w:tabs>
        <w:tab w:val="left" w:pos="360" w:leader="none"/>
      </w:tabs>
    </w:pPr>
    <w:rPr>
      <w:rFonts w:ascii="Calibri" w:hAnsi="Calibri" w:eastAsia="宋体" w:cs="Times New Roman"/>
      <w:sz w:val="28"/>
      <w:szCs w:val="30"/>
    </w:rPr>
  </w:style>
  <w:style w:type="paragraph" w:styleId="963" w:customStyle="1">
    <w:name w:val="普通(网站)1"/>
    <w:basedOn w:val="747"/>
    <w:uiPriority w:val="99"/>
    <w:qFormat/>
    <w:pPr>
      <w:jc w:val="left"/>
      <w:spacing w:before="100" w:beforeAutospacing="1" w:after="100" w:afterAutospacing="1"/>
      <w:widowControl/>
    </w:pPr>
    <w:rPr>
      <w:rFonts w:ascii="宋体" w:hAnsi="宋体" w:eastAsia="宋体" w:cs="宋体"/>
      <w:sz w:val="24"/>
      <w:szCs w:val="24"/>
    </w:rPr>
  </w:style>
  <w:style w:type="character" w:styleId="964" w:customStyle="1">
    <w:name w:val="font11"/>
    <w:uiPriority w:val="99"/>
    <w:qFormat/>
    <w:rPr>
      <w:rFonts w:ascii="方正小标宋简体" w:hAnsi="方正小标宋简体" w:eastAsia="方正小标宋简体" w:cs="方正小标宋简体"/>
      <w:color w:val="000000"/>
      <w:sz w:val="36"/>
      <w:szCs w:val="36"/>
      <w:u w:val="none"/>
    </w:rPr>
  </w:style>
  <w:style w:type="paragraph" w:styleId="965">
    <w:name w:val="List Paragraph"/>
    <w:basedOn w:val="747"/>
    <w:uiPriority w:val="99"/>
    <w:qFormat/>
    <w:pPr>
      <w:ind w:firstLine="420"/>
    </w:pPr>
    <w:rPr>
      <w:rFonts w:ascii="Times New Roman" w:hAnsi="Times New Roman" w:eastAsia="宋体" w:cs="Times New Roman"/>
      <w:szCs w:val="20"/>
    </w:rPr>
  </w:style>
  <w:style w:type="paragraph" w:styleId="966" w:customStyle="1">
    <w:name w:val="Table Paragraph"/>
    <w:basedOn w:val="747"/>
    <w:uiPriority w:val="1"/>
    <w:qFormat/>
    <w:rPr>
      <w:rFonts w:ascii="宋体" w:hAnsi="宋体" w:eastAsia="宋体" w:cs="宋体"/>
      <w:szCs w:val="24"/>
      <w:lang w:val="zh-CN" w:bidi="zh-CN"/>
    </w:rPr>
  </w:style>
  <w:style w:type="character" w:styleId="967" w:customStyle="1">
    <w:name w:val="普通(网站) Char"/>
    <w:link w:val="781"/>
    <w:qFormat/>
    <w:rPr>
      <w:rFonts w:ascii="宋体" w:hAnsi="宋体" w:eastAsia="宋体" w:cs="Times New Roman"/>
      <w:sz w:val="24"/>
      <w:szCs w:val="24"/>
      <w:lang w:val="zh-CN" w:eastAsia="zh-CN"/>
    </w:rPr>
  </w:style>
  <w:style w:type="character" w:styleId="968" w:customStyle="1">
    <w:name w:val="正文文本 Char"/>
    <w:basedOn w:val="750"/>
    <w:link w:val="761"/>
    <w:uiPriority w:val="99"/>
    <w:semiHidden/>
    <w:qFormat/>
    <w:rPr>
      <w:rFonts w:ascii="Calibri" w:hAnsi="Calibri" w:eastAsia="宋体" w:cs="Times New Roman"/>
      <w:szCs w:val="24"/>
    </w:rPr>
  </w:style>
  <w:style w:type="character" w:styleId="969" w:customStyle="1">
    <w:name w:val="正文首行缩进 Char"/>
    <w:basedOn w:val="968"/>
    <w:link w:val="783"/>
    <w:uiPriority w:val="99"/>
    <w:semiHidden/>
    <w:qFormat/>
    <w:rPr>
      <w:rFonts w:ascii="Calibri" w:hAnsi="Calibri" w:eastAsia="宋体" w:cs="Times New Roman"/>
      <w:szCs w:val="24"/>
    </w:rPr>
  </w:style>
  <w:style w:type="table" w:styleId="970" w:customStyle="1">
    <w:name w:val="网格型1"/>
    <w:basedOn w:val="75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1" w:customStyle="1">
    <w:name w:val="普通表格1"/>
    <w:semiHidden/>
    <w:qFormat/>
    <w:rPr>
      <w:rFonts w:ascii="Times New Roman" w:hAnsi="Times New Roman" w:eastAsia="宋体" w:cs="Times New Roman"/>
    </w:rPr>
    <w:tblPr>
      <w:tblCellMar>
        <w:left w:w="108" w:type="dxa"/>
        <w:top w:w="0" w:type="dxa"/>
        <w:right w:w="108" w:type="dxa"/>
        <w:bottom w:w="0" w:type="dxa"/>
      </w:tblCellMar>
    </w:tblPr>
  </w:style>
  <w:style w:type="character" w:styleId="972" w:customStyle="1">
    <w:name w:val="日期 Char"/>
    <w:basedOn w:val="750"/>
    <w:link w:val="768"/>
    <w:uiPriority w:val="99"/>
    <w:semiHidden/>
    <w:qFormat/>
  </w:style>
  <w:style w:type="character" w:styleId="973" w:customStyle="1">
    <w:name w:val="标题 2 Char"/>
    <w:basedOn w:val="750"/>
    <w:link w:val="749"/>
    <w:uiPriority w:val="9"/>
    <w:semiHidden/>
    <w:rPr>
      <w:rFonts w:asciiTheme="majorHAnsi" w:hAnsiTheme="majorHAnsi" w:eastAsiaTheme="majorEastAsia" w:cstheme="majorBidi"/>
      <w:b/>
      <w:bCs/>
      <w:sz w:val="32"/>
      <w:szCs w:val="32"/>
    </w:rPr>
  </w:style>
  <w:style w:type="character" w:styleId="974">
    <w:name w:val="Strong"/>
    <w:basedOn w:val="750"/>
    <w:uiPriority w:val="22"/>
    <w:qFormat/>
    <w:rPr>
      <w:b/>
      <w:bCs/>
    </w:rPr>
  </w:style>
  <w:style w:type="character" w:styleId="975" w:customStyle="1">
    <w:name w:val="custom-tag-placeholder-class"/>
    <w:basedOn w:val="750"/>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CFBFEF2-716B-4870-841A-713549222C9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_x0004_</dc:creator>
  <cp:lastModifiedBy>朱春燕</cp:lastModifiedBy>
  <cp:revision>292</cp:revision>
  <dcterms:created xsi:type="dcterms:W3CDTF">2025-10-28T03:24:00Z</dcterms:created>
  <dcterms:modified xsi:type="dcterms:W3CDTF">2025-12-01T06:27:11Z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eyJoZGlkIjoiOWM5ZjgxYjJkN2Q4NjRkZDY2NmVhY2Y2MDI4YjZkM2UiLCJ1c2VySWQiOiIxMjUzMDM2NDU4In0=</vt:lpwstr>
  </property>
  <property fmtid="{D5CDD505-2E9C-101B-9397-08002B2CF9AE}" pid="3" name="KSOProductBuildVer">
    <vt:lpwstr>2052-12.1.0.23542</vt:lpwstr>
  </property>
  <property fmtid="{D5CDD505-2E9C-101B-9397-08002B2CF9AE}" pid="4" name="ICV">
    <vt:lpwstr>D76DDF7E230242F2B5B91A0058E053A5_12</vt:lpwstr>
  </property>
</Properties>
</file>